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919f" w14:textId="ad39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22 июня 2013 года № 645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о применении информационных технологий</w:t>
      </w:r>
      <w:r>
        <w:br/>
      </w:r>
      <w:r>
        <w:rPr>
          <w:rFonts w:ascii="Times New Roman"/>
          <w:b/>
          <w:i w:val="false"/>
          <w:color w:val="000000"/>
        </w:rPr>
        <w:t>
при обмене электронными документами во внешней и взаимной</w:t>
      </w:r>
      <w:r>
        <w:br/>
      </w:r>
      <w:r>
        <w:rPr>
          <w:rFonts w:ascii="Times New Roman"/>
          <w:b/>
          <w:i w:val="false"/>
          <w:color w:val="000000"/>
        </w:rPr>
        <w:t>
торговле на единой таможенной территории Таможенного союза</w:t>
      </w:r>
    </w:p>
    <w:p>
      <w:pPr>
        <w:spacing w:after="0"/>
        <w:ind w:left="0"/>
        <w:jc w:val="both"/>
      </w:pPr>
      <w:r>
        <w:rPr>
          <w:rFonts w:ascii="Times New Roman"/>
          <w:b w:val="false"/>
          <w:i w:val="false"/>
          <w:color w:val="000000"/>
          <w:sz w:val="28"/>
        </w:rPr>
        <w:t>      Ратифицировать Соглашение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совершенное в городе Москве 21 сентября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СОГЛAШЕНИЕ</w:t>
      </w:r>
      <w:r>
        <w:br/>
      </w:r>
      <w:r>
        <w:rPr>
          <w:rFonts w:ascii="Times New Roman"/>
          <w:b/>
          <w:i w:val="false"/>
          <w:color w:val="000000"/>
        </w:rPr>
        <w:t>
о применении информационных технологий при обмене электронными</w:t>
      </w:r>
      <w:r>
        <w:br/>
      </w:r>
      <w:r>
        <w:rPr>
          <w:rFonts w:ascii="Times New Roman"/>
          <w:b/>
          <w:i w:val="false"/>
          <w:color w:val="000000"/>
        </w:rPr>
        <w:t>
документами но внешней и взаимной торговле</w:t>
      </w:r>
      <w:r>
        <w:br/>
      </w:r>
      <w:r>
        <w:rPr>
          <w:rFonts w:ascii="Times New Roman"/>
          <w:b/>
          <w:i w:val="false"/>
          <w:color w:val="000000"/>
        </w:rPr>
        <w:t>
на единой таможенной территории Таможенного союза</w:t>
      </w:r>
    </w:p>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учитывая взаимные интересы в деле развития и применения информационных технологий для обеспечения процессов экономической интеграции, развития внешней и взаимной торговли,</w:t>
      </w:r>
      <w:r>
        <w:br/>
      </w:r>
      <w:r>
        <w:rPr>
          <w:rFonts w:ascii="Times New Roman"/>
          <w:b w:val="false"/>
          <w:i w:val="false"/>
          <w:color w:val="000000"/>
          <w:sz w:val="28"/>
        </w:rPr>
        <w:t>
      исходя из убеждения, что принятие единых правил электронного документооборота Таможенного союза повысит эффективность внешней и взаимной торговли,</w:t>
      </w:r>
      <w:r>
        <w:br/>
      </w:r>
      <w:r>
        <w:rPr>
          <w:rFonts w:ascii="Times New Roman"/>
          <w:b w:val="false"/>
          <w:i w:val="false"/>
          <w:color w:val="000000"/>
          <w:sz w:val="28"/>
        </w:rPr>
        <w:t>
      стремясь разработать общий подход к решению задачи по устранению правовых барьеров на пути использования электронных документов во внешней и взаимной торговле на единой таможенной территории Таможенного союза,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Стороны сотрудничают в вопросах применения современных информационных технологий при обмене электронными документами во внешней и взаимной торговле.</w:t>
      </w:r>
      <w:r>
        <w:br/>
      </w:r>
      <w:r>
        <w:rPr>
          <w:rFonts w:ascii="Times New Roman"/>
          <w:b w:val="false"/>
          <w:i w:val="false"/>
          <w:color w:val="000000"/>
          <w:sz w:val="28"/>
        </w:rPr>
        <w:t>
      Стороны сотрудничают в целях упрощения осуществления внешней и взаимной торговли на единой таможенной территории Таможенного союза.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Настоящее Соглашение регулирует отношения, возникающие в процессе составления, отправления, передачи, получения, хранения и использования электронных документов государственными органами государств Сторон, физическими или юридическими лицами (далее - субъекты электронного взаимодействия) при применении информационных технологий для обмена электронными документами во внешней и взаимной торговле на единой таможенной территории Таможенного союза.</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Для целей настоящего Соглашения используются следующие термины и их определения:</w:t>
      </w:r>
      <w:r>
        <w:br/>
      </w:r>
      <w:r>
        <w:rPr>
          <w:rFonts w:ascii="Times New Roman"/>
          <w:b w:val="false"/>
          <w:i w:val="false"/>
          <w:color w:val="000000"/>
          <w:sz w:val="28"/>
        </w:rPr>
        <w:t>
      «электронный документ о внешней и взаимной торговле»  - формализованная запись информации в электронном виде, заверенная электронной цифровой подписью и отвечающая правилам и требованиям документирования при осуществлении внешней и взаимной торговли на единой таможенной территории Таможенного союза (электронный документ);</w:t>
      </w:r>
      <w:r>
        <w:br/>
      </w:r>
      <w:r>
        <w:rPr>
          <w:rFonts w:ascii="Times New Roman"/>
          <w:b w:val="false"/>
          <w:i w:val="false"/>
          <w:color w:val="000000"/>
          <w:sz w:val="28"/>
        </w:rPr>
        <w:t>
      «учетная система» - информационная система, содержащая информацию из правоустанавливающих документов субъектов электронного взаимодействия, на основании которой составляются или выдаются юридически значимые электронные документы;</w:t>
      </w:r>
      <w:r>
        <w:br/>
      </w:r>
      <w:r>
        <w:rPr>
          <w:rFonts w:ascii="Times New Roman"/>
          <w:b w:val="false"/>
          <w:i w:val="false"/>
          <w:color w:val="000000"/>
          <w:sz w:val="28"/>
        </w:rPr>
        <w:t>
      «общая инфраструктура документирования информации в электронном виде» - совокупность информационно-технологических и организационно-правовых мероприятий, правил и решений, реализуемых в целях придания юридической силы электронным документам, используемым при осуществлении внешней и взаимной торговли на единой таможенной территории Таможенного союза;</w:t>
      </w:r>
      <w:r>
        <w:br/>
      </w:r>
      <w:r>
        <w:rPr>
          <w:rFonts w:ascii="Times New Roman"/>
          <w:b w:val="false"/>
          <w:i w:val="false"/>
          <w:color w:val="000000"/>
          <w:sz w:val="28"/>
        </w:rPr>
        <w:t>
      «доверенная третья сторона» - организация, наделенная правом в соответствии с законодательством государства каждой из Сторон осуществлять деятельность по проверке электронной цифровой подписи в электронных документах в фиксированный момент времени в отношении составителя и (или) адресата электронного документа.</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Вопросы, относящиеся к предмету регулирования настоящего Соглашения и не отраженные в нем, регулируются законодательством государства каждой из Сторон.</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Если в соответствии с законодательством государства каждой из Сторон требуется, чтобы документ был оформлен письменно, то электронный документ, оформленный по правилам и требованиям документирования, определяемым Комиссией Таможенного союза (далее - Комиссия), считается соответствующим этому требованию.</w:t>
      </w:r>
      <w:r>
        <w:br/>
      </w:r>
      <w:r>
        <w:rPr>
          <w:rFonts w:ascii="Times New Roman"/>
          <w:b w:val="false"/>
          <w:i w:val="false"/>
          <w:color w:val="000000"/>
          <w:sz w:val="28"/>
        </w:rPr>
        <w:t>
      Если в соответствии с законодательством государства каждой из Сторон требуется, чтобы документ на бумажном носителе был заверен печатью, то электронный документ, оформленный по правилам и требованиям документирования, определяемым Комиссией, такого заверения не требует.</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Электронный документ, оформленный по правилам и требованиям документирования, определяемым Комиссией, признается равным по юридической силе аналогичному документу на бумажном носителе, заверенному подписью составителя электронного документа либо подписью и печатью.</w:t>
      </w:r>
      <w:r>
        <w:br/>
      </w:r>
      <w:r>
        <w:rPr>
          <w:rFonts w:ascii="Times New Roman"/>
          <w:b w:val="false"/>
          <w:i w:val="false"/>
          <w:color w:val="000000"/>
          <w:sz w:val="28"/>
        </w:rPr>
        <w:t>
      Документ не может быть лишен юридической силы на том лишь основании, что он составлен в форме электронного документа.</w:t>
      </w:r>
      <w:r>
        <w:br/>
      </w:r>
      <w:r>
        <w:rPr>
          <w:rFonts w:ascii="Times New Roman"/>
          <w:b w:val="false"/>
          <w:i w:val="false"/>
          <w:color w:val="000000"/>
          <w:sz w:val="28"/>
        </w:rPr>
        <w:t>
      Использование государствами Сторон электронного документа в качестве доказательства правомерности не может быть запрещено по причине его электронной формы.</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Порядок ведения учетных систем в электронном виде, а также особенности их использования определяются законодательством государства каждой из Сторон с учетом положений настоящего Соглашения в части обеспечения информационного взаимодействия этих систем на основе общей инфраструктуры документирования информации в электронном виде.</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Общая инфраструктура документирования информации в электронном виде состоит из:</w:t>
      </w:r>
      <w:r>
        <w:br/>
      </w:r>
      <w:r>
        <w:rPr>
          <w:rFonts w:ascii="Times New Roman"/>
          <w:b w:val="false"/>
          <w:i w:val="false"/>
          <w:color w:val="000000"/>
          <w:sz w:val="28"/>
        </w:rPr>
        <w:t>
      государственных компонентов;</w:t>
      </w:r>
      <w:r>
        <w:br/>
      </w:r>
      <w:r>
        <w:rPr>
          <w:rFonts w:ascii="Times New Roman"/>
          <w:b w:val="false"/>
          <w:i w:val="false"/>
          <w:color w:val="000000"/>
          <w:sz w:val="28"/>
        </w:rPr>
        <w:t>
      интеграционного компонента.</w:t>
      </w:r>
      <w:r>
        <w:br/>
      </w:r>
      <w:r>
        <w:rPr>
          <w:rFonts w:ascii="Times New Roman"/>
          <w:b w:val="false"/>
          <w:i w:val="false"/>
          <w:color w:val="000000"/>
          <w:sz w:val="28"/>
        </w:rPr>
        <w:t>
      Интеграционным компонентом общей инфраструктуры документирования информации в электронном виде является система трансграничного электронного документооборота на основе взаимодействия доверенных третьих сторон.</w:t>
      </w:r>
      <w:r>
        <w:br/>
      </w:r>
      <w:r>
        <w:rPr>
          <w:rFonts w:ascii="Times New Roman"/>
          <w:b w:val="false"/>
          <w:i w:val="false"/>
          <w:color w:val="000000"/>
          <w:sz w:val="28"/>
        </w:rPr>
        <w:t>
      Оператором интеграционного компонента общей инфраструктуры документирования информации в электронном виде выступает Комиссия.</w:t>
      </w:r>
      <w:r>
        <w:br/>
      </w:r>
      <w:r>
        <w:rPr>
          <w:rFonts w:ascii="Times New Roman"/>
          <w:b w:val="false"/>
          <w:i w:val="false"/>
          <w:color w:val="000000"/>
          <w:sz w:val="28"/>
        </w:rPr>
        <w:t>
      Операторами государственных компонентов общей инфраструктуры документирования информации в электронном виде выступают государственные органы, уполномоченные в соответствии с законодательством государства каждой из Сторон.</w:t>
      </w:r>
      <w:r>
        <w:br/>
      </w:r>
      <w:r>
        <w:rPr>
          <w:rFonts w:ascii="Times New Roman"/>
          <w:b w:val="false"/>
          <w:i w:val="false"/>
          <w:color w:val="000000"/>
          <w:sz w:val="28"/>
        </w:rPr>
        <w:t>
      Функции осуществления мероприятий, правил и решений могут быть переданы Комиссии на основе соглашения, заключаемого между Стороной и Комиссией. В рамках такого соглашения должны быть урегулированы вопросы финансирования и информационной безопасности, а также другие организационно-технические и процедурные вопросы.</w:t>
      </w:r>
      <w:r>
        <w:br/>
      </w:r>
      <w:r>
        <w:rPr>
          <w:rFonts w:ascii="Times New Roman"/>
          <w:b w:val="false"/>
          <w:i w:val="false"/>
          <w:color w:val="000000"/>
          <w:sz w:val="28"/>
        </w:rPr>
        <w:t>
      Объемы и источники финансирования создания, эксплуатации и модернизации общей инфраструктуры документирования информации в электронном виде определяются в рамках общих объемов и источников финансирования создания, функционирования и развития интегрированной информационной системы внешней и взаимной торговли Таможенного союза в соответствии с Соглашением о создании, функционировании и развитии интегрированной информационной системы внешней и взаимной торговли Таможенного союза от 21 сентября 2010 года.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При Комиссии создается Координационный совет, который организует свою деятельность в соответствии с Положением о Координационном совете, утверждаемым Межгосударственным Советом Евразийского экономического сообщества (Высшим органом Таможенного союза) на уровне глав правительств, и регламентом Координационного совета, утверждаемым Комиссией.</w:t>
      </w:r>
      <w:r>
        <w:br/>
      </w:r>
      <w:r>
        <w:rPr>
          <w:rFonts w:ascii="Times New Roman"/>
          <w:b w:val="false"/>
          <w:i w:val="false"/>
          <w:color w:val="000000"/>
          <w:sz w:val="28"/>
        </w:rPr>
        <w:t>
      Основными задачами Координационного совета являются:</w:t>
      </w:r>
      <w:r>
        <w:br/>
      </w:r>
      <w:r>
        <w:rPr>
          <w:rFonts w:ascii="Times New Roman"/>
          <w:b w:val="false"/>
          <w:i w:val="false"/>
          <w:color w:val="000000"/>
          <w:sz w:val="28"/>
        </w:rPr>
        <w:t>
      выработка решений для обеспечения информационной безопасности учетных систем и общей инфраструктуры документирования информации в электронном виде;</w:t>
      </w:r>
      <w:r>
        <w:br/>
      </w:r>
      <w:r>
        <w:rPr>
          <w:rFonts w:ascii="Times New Roman"/>
          <w:b w:val="false"/>
          <w:i w:val="false"/>
          <w:color w:val="000000"/>
          <w:sz w:val="28"/>
        </w:rPr>
        <w:t>
      выработка состава компонентов общей инфраструктуры документирования информации в электронном виде на основе межгосударственных стандартов государств - участников Содружества Независимых Государств, международных стандартов и рекомендаций;</w:t>
      </w:r>
      <w:r>
        <w:br/>
      </w:r>
      <w:r>
        <w:rPr>
          <w:rFonts w:ascii="Times New Roman"/>
          <w:b w:val="false"/>
          <w:i w:val="false"/>
          <w:color w:val="000000"/>
          <w:sz w:val="28"/>
        </w:rPr>
        <w:t>
      координация разработки и апробирования типовых информационно-технологических решений и программно-аппаратных комплексов в рамках общей инфраструктуры документирования информации в электронном виде;</w:t>
      </w:r>
      <w:r>
        <w:br/>
      </w:r>
      <w:r>
        <w:rPr>
          <w:rFonts w:ascii="Times New Roman"/>
          <w:b w:val="false"/>
          <w:i w:val="false"/>
          <w:color w:val="000000"/>
          <w:sz w:val="28"/>
        </w:rPr>
        <w:t>
      координация разработки правил документирования информации в электронном виде, единой политики безопасности и регламентов работы отдельных компонентов и служб общей инфраструктуры документирования информации в электронном виде, а также рекомендаций по их применению для субъектов электронного взаимодействия;</w:t>
      </w:r>
      <w:r>
        <w:br/>
      </w:r>
      <w:r>
        <w:rPr>
          <w:rFonts w:ascii="Times New Roman"/>
          <w:b w:val="false"/>
          <w:i w:val="false"/>
          <w:color w:val="000000"/>
          <w:sz w:val="28"/>
        </w:rPr>
        <w:t>
      подготовка рекомендаций для гармонизации законодательства государства каждой из Сторон при использовании электронных документов во внешней и взаимной торговле на единой таможенной территории Таможенного союза, а также для унификации интерфейсов информационного взаимодействия между учетными системами.</w:t>
      </w:r>
      <w:r>
        <w:br/>
      </w:r>
      <w:r>
        <w:rPr>
          <w:rFonts w:ascii="Times New Roman"/>
          <w:b w:val="false"/>
          <w:i w:val="false"/>
          <w:color w:val="000000"/>
          <w:sz w:val="28"/>
        </w:rPr>
        <w:t>
      Членами Координационного совета являются уполномоченные представители государств Сторон и Секретариата Комиссии. Для работы в рамках Координационного совета могут привлекаться специалисты и эксперты государств Сторон.</w:t>
      </w:r>
      <w:r>
        <w:br/>
      </w:r>
      <w:r>
        <w:rPr>
          <w:rFonts w:ascii="Times New Roman"/>
          <w:b w:val="false"/>
          <w:i w:val="false"/>
          <w:color w:val="000000"/>
          <w:sz w:val="28"/>
        </w:rPr>
        <w:t>
      Финансовое обеспечение командировочных расходов членов Координационного совета, а также специалистов и экспертов государств Сторон, привлекаемых для участия в работе Координационного совета, осуществляется направляющими государственными органами государств Сторон.</w:t>
      </w:r>
      <w:r>
        <w:br/>
      </w:r>
      <w:r>
        <w:rPr>
          <w:rFonts w:ascii="Times New Roman"/>
          <w:b w:val="false"/>
          <w:i w:val="false"/>
          <w:color w:val="000000"/>
          <w:sz w:val="28"/>
        </w:rPr>
        <w:t>
      Заседания Координационного совета проводятся в Секретариате Комиссии.</w:t>
      </w:r>
      <w:r>
        <w:br/>
      </w:r>
      <w:r>
        <w:rPr>
          <w:rFonts w:ascii="Times New Roman"/>
          <w:b w:val="false"/>
          <w:i w:val="false"/>
          <w:color w:val="000000"/>
          <w:sz w:val="28"/>
        </w:rPr>
        <w:t>
      Научно-исследовательские и опытно-конструкторские работы, необходимые для реализации положений настоящего Соглашения, обеспечиваются Комиссией.</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Деятельность служб доверенной третьей стороны в отношении субъектов информационного взаимодействия осуществляется в соответствии с требованиями настоящего Соглашения и законодательством государства Стороны, в юрисдикции которого находится доверенная третья сторона.</w:t>
      </w:r>
      <w:r>
        <w:br/>
      </w:r>
      <w:r>
        <w:rPr>
          <w:rFonts w:ascii="Times New Roman"/>
          <w:b w:val="false"/>
          <w:i w:val="false"/>
          <w:color w:val="000000"/>
          <w:sz w:val="28"/>
        </w:rPr>
        <w:t>
      Доверенная третья сторона:</w:t>
      </w:r>
      <w:r>
        <w:br/>
      </w:r>
      <w:r>
        <w:rPr>
          <w:rFonts w:ascii="Times New Roman"/>
          <w:b w:val="false"/>
          <w:i w:val="false"/>
          <w:color w:val="000000"/>
          <w:sz w:val="28"/>
        </w:rPr>
        <w:t>
      осуществляет легализацию (подтверждение подлинности) электронных документов;</w:t>
      </w:r>
      <w:r>
        <w:br/>
      </w:r>
      <w:r>
        <w:rPr>
          <w:rFonts w:ascii="Times New Roman"/>
          <w:b w:val="false"/>
          <w:i w:val="false"/>
          <w:color w:val="000000"/>
          <w:sz w:val="28"/>
        </w:rPr>
        <w:t>
      обеспечивает гарантии доверия в международном (трансграничном) обмене электронными документами;</w:t>
      </w:r>
      <w:r>
        <w:br/>
      </w:r>
      <w:r>
        <w:rPr>
          <w:rFonts w:ascii="Times New Roman"/>
          <w:b w:val="false"/>
          <w:i w:val="false"/>
          <w:color w:val="000000"/>
          <w:sz w:val="28"/>
        </w:rPr>
        <w:t>
      обеспечивает правомерность применения электронных цифровых подписей в исходящих и (или) входящих электронных документах и сообщениях в соответствии с правилами и требованиями законодательства того государства, где находится доверенная третья сторона.</w:t>
      </w:r>
      <w:r>
        <w:br/>
      </w:r>
      <w:r>
        <w:rPr>
          <w:rFonts w:ascii="Times New Roman"/>
          <w:b w:val="false"/>
          <w:i w:val="false"/>
          <w:color w:val="000000"/>
          <w:sz w:val="28"/>
        </w:rPr>
        <w:t>
      Доверенные третьи стороны осуществляют взаимодействие для установления доверия при организации трансграничного электронного документооборота между субъектами электронного взаимодействия государств Сторон, использующих разные механизмы защиты электронных документов.</w:t>
      </w:r>
      <w:r>
        <w:br/>
      </w:r>
      <w:r>
        <w:rPr>
          <w:rFonts w:ascii="Times New Roman"/>
          <w:b w:val="false"/>
          <w:i w:val="false"/>
          <w:color w:val="000000"/>
          <w:sz w:val="28"/>
        </w:rPr>
        <w:t>
      Стороны обеспечивают право субъектов информационного взаимодействия пользоваться услугами доверенных третьих сторон, функции которых выполняют государственные органы государств Сторон или аккредитованные ими организации.</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в первую очередь, путем проведения консультаций и переговоров.</w:t>
      </w:r>
      <w:r>
        <w:br/>
      </w:r>
      <w:r>
        <w:rPr>
          <w:rFonts w:ascii="Times New Roman"/>
          <w:b w:val="false"/>
          <w:i w:val="false"/>
          <w:color w:val="000000"/>
          <w:sz w:val="28"/>
        </w:rPr>
        <w:t>
      Если спор не будет урегулирован сторонами спора путем консультаций и переговоров в течение 6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Комиссия оказывает содействие Сторонам в урегулировании спора до его передачи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По договоренности Сторон в настоящее Соглашение могут вноситься изменения, которые оформляются отдельными протоколами, являющимися неотъемлемой частью настоящего Соглашения.</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 даты подписания.</w:t>
      </w:r>
      <w:r>
        <w:br/>
      </w: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настоящего Соглашения в силу.</w:t>
      </w:r>
    </w:p>
    <w:p>
      <w:pPr>
        <w:spacing w:after="0"/>
        <w:ind w:left="0"/>
        <w:jc w:val="both"/>
      </w:pPr>
      <w:r>
        <w:rPr>
          <w:rFonts w:ascii="Times New Roman"/>
          <w:b w:val="false"/>
          <w:i w:val="false"/>
          <w:color w:val="000000"/>
          <w:sz w:val="28"/>
        </w:rPr>
        <w:t>      Совершено в городе Москве 21 сентября 2010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Комиссии, которая, являясь депозитарием настоящего Соглашения, направит каждой Стороне его заверенную копию.</w:t>
      </w:r>
    </w:p>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подписанного 21 сентября 2010 года в г. Москве:</w:t>
      </w:r>
      <w:r>
        <w:br/>
      </w:r>
      <w:r>
        <w:rPr>
          <w:rFonts w:ascii="Times New Roman"/>
          <w:b w:val="false"/>
          <w:i w:val="false"/>
          <w:color w:val="000000"/>
          <w:sz w:val="28"/>
        </w:rPr>
        <w:t>
      за Правительство Республики Беларусь - Заместителем Премьер-Министра Республики Беларусь А.В. Кобяковым,</w:t>
      </w:r>
      <w:r>
        <w:br/>
      </w:r>
      <w:r>
        <w:rPr>
          <w:rFonts w:ascii="Times New Roman"/>
          <w:b w:val="false"/>
          <w:i w:val="false"/>
          <w:color w:val="000000"/>
          <w:sz w:val="28"/>
        </w:rPr>
        <w:t>
      за Правительство Республики Казахстан - Первым заместителем Премьер-министра Республики Казахстан - У.Е. Шукеевым,</w:t>
      </w:r>
      <w:r>
        <w:br/>
      </w:r>
      <w:r>
        <w:rPr>
          <w:rFonts w:ascii="Times New Roman"/>
          <w:b w:val="false"/>
          <w:i w:val="false"/>
          <w:color w:val="000000"/>
          <w:sz w:val="28"/>
        </w:rPr>
        <w:t>
      за Правительство Российской Федерации - Первым заместителем Председателя Правительства Российской Федерации - И.И. Шуваловым.</w:t>
      </w:r>
      <w:r>
        <w:br/>
      </w:r>
      <w:r>
        <w:rPr>
          <w:rFonts w:ascii="Times New Roman"/>
          <w:b w:val="false"/>
          <w:i w:val="false"/>
          <w:color w:val="000000"/>
          <w:sz w:val="28"/>
        </w:rPr>
        <w:t>
      Подлинный экземпляр хранится в Комиссии Таможенного союза.</w:t>
      </w:r>
    </w:p>
    <w:p>
      <w:pPr>
        <w:spacing w:after="0"/>
        <w:ind w:left="0"/>
        <w:jc w:val="both"/>
      </w:pPr>
      <w:r>
        <w:rPr>
          <w:rFonts w:ascii="Times New Roman"/>
          <w:b w:val="false"/>
          <w:i/>
          <w:color w:val="000000"/>
          <w:sz w:val="28"/>
        </w:rPr>
        <w:t>        Директор Правового департамента</w:t>
      </w:r>
      <w:r>
        <w:br/>
      </w:r>
      <w:r>
        <w:rPr>
          <w:rFonts w:ascii="Times New Roman"/>
          <w:b w:val="false"/>
          <w:i w:val="false"/>
          <w:color w:val="000000"/>
          <w:sz w:val="28"/>
        </w:rPr>
        <w:t>
</w:t>
      </w:r>
      <w:r>
        <w:rPr>
          <w:rFonts w:ascii="Times New Roman"/>
          <w:b w:val="false"/>
          <w:i/>
          <w:color w:val="000000"/>
          <w:sz w:val="28"/>
        </w:rPr>
        <w:t>         Секретариата Комиссии</w:t>
      </w:r>
      <w:r>
        <w:br/>
      </w:r>
      <w:r>
        <w:rPr>
          <w:rFonts w:ascii="Times New Roman"/>
          <w:b w:val="false"/>
          <w:i w:val="false"/>
          <w:color w:val="000000"/>
          <w:sz w:val="28"/>
        </w:rPr>
        <w:t>
</w:t>
      </w:r>
      <w:r>
        <w:rPr>
          <w:rFonts w:ascii="Times New Roman"/>
          <w:b w:val="false"/>
          <w:i/>
          <w:color w:val="000000"/>
          <w:sz w:val="28"/>
        </w:rPr>
        <w:t>            Таможенного союза                   Н.Б. Слюсарь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