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9149" w14:textId="c9b9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февраля 2008 года № 104 "Об утверждении номенклатуры (списка) продукции, подлежащей экспортному контролю"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июня 2013 года № 618. Утратило силу постановлением Правительства Республики Казахстан от 14 июля 2023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(САПП Республики Казахстан, 2008 г., № 5, ст. 57)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w:t>
      </w:r>
      <w:r>
        <w:rPr>
          <w:rFonts w:ascii="Times New Roman"/>
          <w:b w:val="false"/>
          <w:i w:val="false"/>
          <w:color w:val="000000"/>
          <w:sz w:val="28"/>
        </w:rPr>
        <w:t xml:space="preserve"> (списке) продукции, подлежащей экспортному контролю,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"Товары и технологии двойного применения (назначения)":</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категории 1 "Материалы, химикаты, "микроорганизмы" и "токсины":</w:t>
      </w:r>
    </w:p>
    <w:bookmarkEnd w:id="4"/>
    <w:bookmarkStart w:name="z6" w:id="5"/>
    <w:p>
      <w:pPr>
        <w:spacing w:after="0"/>
        <w:ind w:left="0"/>
        <w:jc w:val="both"/>
      </w:pPr>
      <w:r>
        <w:rPr>
          <w:rFonts w:ascii="Times New Roman"/>
          <w:b w:val="false"/>
          <w:i w:val="false"/>
          <w:color w:val="000000"/>
          <w:sz w:val="28"/>
        </w:rPr>
        <w:t xml:space="preserve">
      дополнить частью 1А301 следующего содержания: </w:t>
      </w:r>
    </w:p>
    <w:bookmarkEnd w:id="5"/>
    <w:p>
      <w:pPr>
        <w:spacing w:after="0"/>
        <w:ind w:left="0"/>
        <w:jc w:val="both"/>
      </w:pPr>
      <w:r>
        <w:rPr>
          <w:rFonts w:ascii="Times New Roman"/>
          <w:b w:val="false"/>
          <w:i w:val="false"/>
          <w:color w:val="000000"/>
          <w:sz w:val="28"/>
        </w:rPr>
        <w:t>
      "1А301. Оборудование для распылительной сушки, обеспечивающее высушивание токсинов или патогенных микроорганизмов и имеющее следующие характеристики:</w:t>
      </w:r>
    </w:p>
    <w:p>
      <w:pPr>
        <w:spacing w:after="0"/>
        <w:ind w:left="0"/>
        <w:jc w:val="both"/>
      </w:pPr>
      <w:r>
        <w:rPr>
          <w:rFonts w:ascii="Times New Roman"/>
          <w:b w:val="false"/>
          <w:i w:val="false"/>
          <w:color w:val="000000"/>
          <w:sz w:val="28"/>
        </w:rPr>
        <w:t>
      1) производительность по испаренной влаге от 0,4 кг/час до 400 кг/час;</w:t>
      </w:r>
    </w:p>
    <w:p>
      <w:pPr>
        <w:spacing w:after="0"/>
        <w:ind w:left="0"/>
        <w:jc w:val="both"/>
      </w:pPr>
      <w:r>
        <w:rPr>
          <w:rFonts w:ascii="Times New Roman"/>
          <w:b w:val="false"/>
          <w:i w:val="false"/>
          <w:color w:val="000000"/>
          <w:sz w:val="28"/>
        </w:rPr>
        <w:t>
      2) способность вырабатывать частицы продукта со средним типичным размером 10 мкм и менее в штатном оснащении или при минимальной модификации сушилки распылительными насадками, позволяющими вырабатывать необходимый размер частиц;</w:t>
      </w:r>
    </w:p>
    <w:p>
      <w:pPr>
        <w:spacing w:after="0"/>
        <w:ind w:left="0"/>
        <w:jc w:val="both"/>
      </w:pPr>
      <w:r>
        <w:rPr>
          <w:rFonts w:ascii="Times New Roman"/>
          <w:b w:val="false"/>
          <w:i w:val="false"/>
          <w:color w:val="000000"/>
          <w:sz w:val="28"/>
        </w:rPr>
        <w:t>
      3) возможность стерилизации или дезинфекции без предварительной разборки.";</w:t>
      </w:r>
    </w:p>
    <w:bookmarkStart w:name="z7" w:id="6"/>
    <w:p>
      <w:pPr>
        <w:spacing w:after="0"/>
        <w:ind w:left="0"/>
        <w:jc w:val="both"/>
      </w:pPr>
      <w:r>
        <w:rPr>
          <w:rFonts w:ascii="Times New Roman"/>
          <w:b w:val="false"/>
          <w:i w:val="false"/>
          <w:color w:val="000000"/>
          <w:sz w:val="28"/>
        </w:rPr>
        <w:t>
      часть 1С350 "Химические вещества, которые могут использоваться в качестве прекурсоров для создания токсических химических веществ и "химические составы", содержащие один или более элементов из нижеперечисленного" дополнить пунктами 60, 61, 62, 63 следующего содержания:</w:t>
      </w:r>
    </w:p>
    <w:bookmarkEnd w:id="6"/>
    <w:p>
      <w:pPr>
        <w:spacing w:after="0"/>
        <w:ind w:left="0"/>
        <w:jc w:val="both"/>
      </w:pPr>
      <w:r>
        <w:rPr>
          <w:rFonts w:ascii="Times New Roman"/>
          <w:b w:val="false"/>
          <w:i w:val="false"/>
          <w:color w:val="000000"/>
          <w:sz w:val="28"/>
        </w:rPr>
        <w:t>
      "60. Метилфосфоновая кислота (993-13-5);</w:t>
      </w:r>
    </w:p>
    <w:p>
      <w:pPr>
        <w:spacing w:after="0"/>
        <w:ind w:left="0"/>
        <w:jc w:val="both"/>
      </w:pPr>
      <w:r>
        <w:rPr>
          <w:rFonts w:ascii="Times New Roman"/>
          <w:b w:val="false"/>
          <w:i w:val="false"/>
          <w:color w:val="000000"/>
          <w:sz w:val="28"/>
        </w:rPr>
        <w:t>
      61. Диэтил метилфосфат (683-08-9);</w:t>
      </w:r>
    </w:p>
    <w:p>
      <w:pPr>
        <w:spacing w:after="0"/>
        <w:ind w:left="0"/>
        <w:jc w:val="both"/>
      </w:pPr>
      <w:r>
        <w:rPr>
          <w:rFonts w:ascii="Times New Roman"/>
          <w:b w:val="false"/>
          <w:i w:val="false"/>
          <w:color w:val="000000"/>
          <w:sz w:val="28"/>
        </w:rPr>
        <w:t>
      62. N,N-диметиламинофосфорил дихлорид (677-43-0);</w:t>
      </w:r>
    </w:p>
    <w:p>
      <w:pPr>
        <w:spacing w:after="0"/>
        <w:ind w:left="0"/>
        <w:jc w:val="both"/>
      </w:pPr>
      <w:r>
        <w:rPr>
          <w:rFonts w:ascii="Times New Roman"/>
          <w:b w:val="false"/>
          <w:i w:val="false"/>
          <w:color w:val="000000"/>
          <w:sz w:val="28"/>
        </w:rPr>
        <w:t>
      63. Триизопропил фосфит (116-17-6).";</w:t>
      </w:r>
    </w:p>
    <w:bookmarkStart w:name="z8" w:id="7"/>
    <w:p>
      <w:pPr>
        <w:spacing w:after="0"/>
        <w:ind w:left="0"/>
        <w:jc w:val="both"/>
      </w:pPr>
      <w:r>
        <w:rPr>
          <w:rFonts w:ascii="Times New Roman"/>
          <w:b w:val="false"/>
          <w:i w:val="false"/>
          <w:color w:val="000000"/>
          <w:sz w:val="28"/>
        </w:rPr>
        <w:t>
      дополнить техническим примечанием следующего содержания:</w:t>
      </w:r>
    </w:p>
    <w:bookmarkEnd w:id="7"/>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xml:space="preserve">
      Химические вещества перечислены по наименованию, номеру химической реферативной службы (CAS) и списку веществ </w:t>
      </w:r>
      <w:r>
        <w:rPr>
          <w:rFonts w:ascii="Times New Roman"/>
          <w:b w:val="false"/>
          <w:i w:val="false"/>
          <w:color w:val="000000"/>
          <w:sz w:val="28"/>
        </w:rPr>
        <w:t>Конвенции</w:t>
      </w:r>
      <w:r>
        <w:rPr>
          <w:rFonts w:ascii="Times New Roman"/>
          <w:b w:val="false"/>
          <w:i w:val="false"/>
          <w:color w:val="000000"/>
          <w:sz w:val="28"/>
        </w:rPr>
        <w:t xml:space="preserve"> о запрещении разработки, производства, накопления и применения химического оружия и его уничтожении (если применимо). Химические вещества той же самой структурной формулы (например, гидраты) контролируются, независимо от наименования или номера CAS. Номера CAS приводятся для идентификации того, контролируется ли особое химическое вещество или смесь химических веществ, независимо от спецификации. Однако номера CAS не могут использоваться в качестве уникальных идентификаторов во всех ситуациях, потому что у некоторых форм перечисленного химиката различные номера CAS, и у смесей, содержащих перечисленный химикат, могут также быть различные номера CAS.";</w:t>
      </w:r>
    </w:p>
    <w:bookmarkStart w:name="z9" w:id="8"/>
    <w:p>
      <w:pPr>
        <w:spacing w:after="0"/>
        <w:ind w:left="0"/>
        <w:jc w:val="both"/>
      </w:pPr>
      <w:r>
        <w:rPr>
          <w:rFonts w:ascii="Times New Roman"/>
          <w:b w:val="false"/>
          <w:i w:val="false"/>
          <w:color w:val="000000"/>
          <w:sz w:val="28"/>
        </w:rPr>
        <w:t>
      в части 1С351 "Патогены, опасные для человека и животных, зоонозы и токсины, такие как:":</w:t>
      </w:r>
    </w:p>
    <w:bookmarkEnd w:id="8"/>
    <w:bookmarkStart w:name="z10" w:id="9"/>
    <w:p>
      <w:pPr>
        <w:spacing w:after="0"/>
        <w:ind w:left="0"/>
        <w:jc w:val="both"/>
      </w:pPr>
      <w:r>
        <w:rPr>
          <w:rFonts w:ascii="Times New Roman"/>
          <w:b w:val="false"/>
          <w:i w:val="false"/>
          <w:color w:val="000000"/>
          <w:sz w:val="28"/>
        </w:rPr>
        <w:t>
      пункт 31 абзаца а. "Вирусы,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вирусами, такие как:" изложить в следующей редакции:</w:t>
      </w:r>
    </w:p>
    <w:bookmarkEnd w:id="9"/>
    <w:bookmarkStart w:name="z11" w:id="10"/>
    <w:p>
      <w:pPr>
        <w:spacing w:after="0"/>
        <w:ind w:left="0"/>
        <w:jc w:val="both"/>
      </w:pPr>
      <w:r>
        <w:rPr>
          <w:rFonts w:ascii="Times New Roman"/>
          <w:b w:val="false"/>
          <w:i w:val="false"/>
          <w:color w:val="000000"/>
          <w:sz w:val="28"/>
        </w:rPr>
        <w:t>
      "31. Вирусы, вызывающие легочную и почечную геморрагическую лихорадку Сеул, Добрава, Пуумала, Син Номбре, Андес, Чапаре, Чокло, Лухо, Черная лагуна (Seou virus, Dobrava virus, Puumala virus, Sin Nombre virus, Andes virus, Chapare virus, Choclo virus, Lujo virus, Laguna Negravirus);";</w:t>
      </w:r>
    </w:p>
    <w:bookmarkEnd w:id="10"/>
    <w:bookmarkStart w:name="z12" w:id="11"/>
    <w:p>
      <w:pPr>
        <w:spacing w:after="0"/>
        <w:ind w:left="0"/>
        <w:jc w:val="both"/>
      </w:pPr>
      <w:r>
        <w:rPr>
          <w:rFonts w:ascii="Times New Roman"/>
          <w:b w:val="false"/>
          <w:i w:val="false"/>
          <w:color w:val="000000"/>
          <w:sz w:val="28"/>
        </w:rPr>
        <w:t>
      в абзаце с. "Бактерии, естественного происхождения или измененные, в форме "изолированной культуры" или как материал, включая питательную среду, преднамеренно зараженный этими бактериями, такие как:":</w:t>
      </w:r>
    </w:p>
    <w:bookmarkEnd w:id="11"/>
    <w:bookmarkStart w:name="z13" w:id="12"/>
    <w:p>
      <w:pPr>
        <w:spacing w:after="0"/>
        <w:ind w:left="0"/>
        <w:jc w:val="both"/>
      </w:pPr>
      <w:r>
        <w:rPr>
          <w:rFonts w:ascii="Times New Roman"/>
          <w:b w:val="false"/>
          <w:i w:val="false"/>
          <w:color w:val="000000"/>
          <w:sz w:val="28"/>
        </w:rPr>
        <w:t xml:space="preserve">
      пункт 14 изложить в следующей редакции: </w:t>
      </w:r>
    </w:p>
    <w:bookmarkEnd w:id="12"/>
    <w:p>
      <w:pPr>
        <w:spacing w:after="0"/>
        <w:ind w:left="0"/>
        <w:jc w:val="both"/>
      </w:pPr>
      <w:r>
        <w:rPr>
          <w:rFonts w:ascii="Times New Roman"/>
          <w:b w:val="false"/>
          <w:i w:val="false"/>
          <w:color w:val="000000"/>
          <w:sz w:val="28"/>
        </w:rPr>
        <w:t>
      "14. Клостридиальный озноб, вырабатываются токсины, вызывающие болезнь (Clostridium perfringens, Clostridium baratti, Clostridium butyricum);";</w:t>
      </w:r>
    </w:p>
    <w:bookmarkStart w:name="z14" w:id="13"/>
    <w:p>
      <w:pPr>
        <w:spacing w:after="0"/>
        <w:ind w:left="0"/>
        <w:jc w:val="both"/>
      </w:pPr>
      <w:r>
        <w:rPr>
          <w:rFonts w:ascii="Times New Roman"/>
          <w:b w:val="false"/>
          <w:i w:val="false"/>
          <w:color w:val="000000"/>
          <w:sz w:val="28"/>
        </w:rPr>
        <w:t>
      дополнить пунктами 16 и 17 следующего содержания:</w:t>
      </w:r>
    </w:p>
    <w:bookmarkEnd w:id="13"/>
    <w:p>
      <w:pPr>
        <w:spacing w:after="0"/>
        <w:ind w:left="0"/>
        <w:jc w:val="both"/>
      </w:pPr>
      <w:r>
        <w:rPr>
          <w:rFonts w:ascii="Times New Roman"/>
          <w:b w:val="false"/>
          <w:i w:val="false"/>
          <w:color w:val="000000"/>
          <w:sz w:val="28"/>
        </w:rPr>
        <w:t>
      "16. Кишечная палочка (Escherichiacoli), продуцирующая токсин Шига (STEC), серотип O26, O45, O103, O104, O111, O121, O145, O157 и другие серотипы, продуцирующие токсин Шига3</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17. Возбудитель Clostridiumargentinense, ранее известный как возбудитель бутулизма (Clostridiumbotulinum) тип G, ботулинический нейротоксин штаммов-продуцентов.";</w:t>
      </w:r>
    </w:p>
    <w:bookmarkStart w:name="z15" w:id="14"/>
    <w:p>
      <w:pPr>
        <w:spacing w:after="0"/>
        <w:ind w:left="0"/>
        <w:jc w:val="both"/>
      </w:pPr>
      <w:r>
        <w:rPr>
          <w:rFonts w:ascii="Times New Roman"/>
          <w:b w:val="false"/>
          <w:i w:val="false"/>
          <w:color w:val="000000"/>
          <w:sz w:val="28"/>
        </w:rPr>
        <w:t>
      абзацы d, e и f изложить в следующей редакции:</w:t>
      </w:r>
    </w:p>
    <w:bookmarkEnd w:id="14"/>
    <w:p>
      <w:pPr>
        <w:spacing w:after="0"/>
        <w:ind w:left="0"/>
        <w:jc w:val="both"/>
      </w:pPr>
      <w:r>
        <w:rPr>
          <w:rFonts w:ascii="Times New Roman"/>
          <w:b w:val="false"/>
          <w:i w:val="false"/>
          <w:color w:val="000000"/>
          <w:sz w:val="28"/>
        </w:rPr>
        <w:t>
      "d. Бактерии вида WB1, WB2, WB3, WB4;</w:t>
      </w:r>
    </w:p>
    <w:p>
      <w:pPr>
        <w:spacing w:after="0"/>
        <w:ind w:left="0"/>
        <w:jc w:val="both"/>
      </w:pPr>
      <w:r>
        <w:rPr>
          <w:rFonts w:ascii="Times New Roman"/>
          <w:b w:val="false"/>
          <w:i w:val="false"/>
          <w:color w:val="000000"/>
          <w:sz w:val="28"/>
        </w:rPr>
        <w:t>
      е. Грибы F1 Coccidiodesimmitis, F2 Coccidiodesposadasii, переносклероспорафилиппиненсис, склерофторарайссиэ вариант зиэ, синхитриумэндобитикум, тиллетиаиндика, текафорасолани;</w:t>
      </w:r>
    </w:p>
    <w:p>
      <w:pPr>
        <w:spacing w:after="0"/>
        <w:ind w:left="0"/>
        <w:jc w:val="both"/>
      </w:pPr>
      <w:r>
        <w:rPr>
          <w:rFonts w:ascii="Times New Roman"/>
          <w:b w:val="false"/>
          <w:i w:val="false"/>
          <w:color w:val="000000"/>
          <w:sz w:val="28"/>
        </w:rPr>
        <w:t>
      f. Генетические элементы и генетически модифицированные организмы:</w:t>
      </w:r>
    </w:p>
    <w:p>
      <w:pPr>
        <w:spacing w:after="0"/>
        <w:ind w:left="0"/>
        <w:jc w:val="both"/>
      </w:pPr>
      <w:r>
        <w:rPr>
          <w:rFonts w:ascii="Times New Roman"/>
          <w:b w:val="false"/>
          <w:i w:val="false"/>
          <w:color w:val="000000"/>
          <w:sz w:val="28"/>
        </w:rPr>
        <w:t>
      1. Генетические элементы, содержащие последовательности нуклеиновых кислот, связанные с патогенностью любого из микроорганизмов, включенных в список.</w:t>
      </w:r>
    </w:p>
    <w:p>
      <w:pPr>
        <w:spacing w:after="0"/>
        <w:ind w:left="0"/>
        <w:jc w:val="both"/>
      </w:pPr>
      <w:r>
        <w:rPr>
          <w:rFonts w:ascii="Times New Roman"/>
          <w:b w:val="false"/>
          <w:i w:val="false"/>
          <w:color w:val="000000"/>
          <w:sz w:val="28"/>
        </w:rPr>
        <w:t>
      2. Генетические элементы, содержащие последовательности нуклеиновых кислот, которые кодируют любой из указанных в списке токсинов или их субъединицы.</w:t>
      </w:r>
    </w:p>
    <w:p>
      <w:pPr>
        <w:spacing w:after="0"/>
        <w:ind w:left="0"/>
        <w:jc w:val="both"/>
      </w:pPr>
      <w:r>
        <w:rPr>
          <w:rFonts w:ascii="Times New Roman"/>
          <w:b w:val="false"/>
          <w:i w:val="false"/>
          <w:color w:val="000000"/>
          <w:sz w:val="28"/>
        </w:rPr>
        <w:t>
      3. Генетически модифицированные организмы, содержащие последовательности нуклеиновых кислот, связанные с патогенностью любого из микроорганизмов, включенных в список.</w:t>
      </w:r>
    </w:p>
    <w:p>
      <w:pPr>
        <w:spacing w:after="0"/>
        <w:ind w:left="0"/>
        <w:jc w:val="both"/>
      </w:pPr>
      <w:r>
        <w:rPr>
          <w:rFonts w:ascii="Times New Roman"/>
          <w:b w:val="false"/>
          <w:i w:val="false"/>
          <w:color w:val="000000"/>
          <w:sz w:val="28"/>
        </w:rPr>
        <w:t>
      4. Генетически модифицированные организмы, содержащие последовательности нуклеиновых кислот, которые кодируют любой из указанных в списке токсинов или их субъединицы.";</w:t>
      </w:r>
    </w:p>
    <w:bookmarkStart w:name="z16" w:id="15"/>
    <w:p>
      <w:pPr>
        <w:spacing w:after="0"/>
        <w:ind w:left="0"/>
        <w:jc w:val="both"/>
      </w:pPr>
      <w:r>
        <w:rPr>
          <w:rFonts w:ascii="Times New Roman"/>
          <w:b w:val="false"/>
          <w:i w:val="false"/>
          <w:color w:val="000000"/>
          <w:sz w:val="28"/>
        </w:rPr>
        <w:t>
      дополнить примечанием следующего содержания:</w:t>
      </w:r>
    </w:p>
    <w:bookmarkEnd w:id="15"/>
    <w:p>
      <w:pPr>
        <w:spacing w:after="0"/>
        <w:ind w:left="0"/>
        <w:jc w:val="both"/>
      </w:pPr>
      <w:r>
        <w:rPr>
          <w:rFonts w:ascii="Times New Roman"/>
          <w:b w:val="false"/>
          <w:i w:val="false"/>
          <w:color w:val="000000"/>
          <w:sz w:val="28"/>
        </w:rPr>
        <w:t xml:space="preserve">
      "Примечание: Генетически модифицированные организмы включают организмы, в которых генетический материал (последовательности нуклеиновых кислот) изменен таким путем, который не встречается в природе при скрещивании и(или) естественном мутагенезе, и охватывают такие микроорганизмы, которые полностью или частично получены искусственным путем. </w:t>
      </w:r>
    </w:p>
    <w:p>
      <w:pPr>
        <w:spacing w:after="0"/>
        <w:ind w:left="0"/>
        <w:jc w:val="both"/>
      </w:pPr>
      <w:r>
        <w:rPr>
          <w:rFonts w:ascii="Times New Roman"/>
          <w:b w:val="false"/>
          <w:i w:val="false"/>
          <w:color w:val="000000"/>
          <w:sz w:val="28"/>
        </w:rPr>
        <w:t xml:space="preserve">
      В число генетических элементов входят, помимо прочего, хромосомы, геномы, плазмиды, транспозоны и векторы, как генетически модифицированные, так и не модифицированные. </w:t>
      </w:r>
    </w:p>
    <w:p>
      <w:pPr>
        <w:spacing w:after="0"/>
        <w:ind w:left="0"/>
        <w:jc w:val="both"/>
      </w:pPr>
      <w:r>
        <w:rPr>
          <w:rFonts w:ascii="Times New Roman"/>
          <w:b w:val="false"/>
          <w:i w:val="false"/>
          <w:color w:val="000000"/>
          <w:sz w:val="28"/>
        </w:rPr>
        <w:t>
      Последовательности нуклеиновых кислот, связанные с патогенностью любого из микроорганизмов в списке означают любую последовательность, специфичную для соответствующего микроорганизма, указанного в списке:</w:t>
      </w:r>
    </w:p>
    <w:p>
      <w:pPr>
        <w:spacing w:after="0"/>
        <w:ind w:left="0"/>
        <w:jc w:val="both"/>
      </w:pPr>
      <w:r>
        <w:rPr>
          <w:rFonts w:ascii="Times New Roman"/>
          <w:b w:val="false"/>
          <w:i w:val="false"/>
          <w:color w:val="000000"/>
          <w:sz w:val="28"/>
        </w:rPr>
        <w:t xml:space="preserve">
      1. Которая сама по себе или через продукты, полученные при ее трансляции или транскрипции, представляет значительную угрозу для здоровья людей, животных или растений. </w:t>
      </w:r>
    </w:p>
    <w:p>
      <w:pPr>
        <w:spacing w:after="0"/>
        <w:ind w:left="0"/>
        <w:jc w:val="both"/>
      </w:pPr>
      <w:r>
        <w:rPr>
          <w:rFonts w:ascii="Times New Roman"/>
          <w:b w:val="false"/>
          <w:i w:val="false"/>
          <w:color w:val="000000"/>
          <w:sz w:val="28"/>
        </w:rPr>
        <w:t>
      2. В отношении которой известно, что она повышает способность перечисленных микроорганизмов или любого другого организма, в который она может быть внесена посредством вставки или иным образом интегрирована, вызывать серьезную опасность для здоровья людей, животных или растений.</w:t>
      </w:r>
    </w:p>
    <w:p>
      <w:pPr>
        <w:spacing w:after="0"/>
        <w:ind w:left="0"/>
        <w:jc w:val="both"/>
      </w:pPr>
      <w:r>
        <w:rPr>
          <w:rFonts w:ascii="Times New Roman"/>
          <w:b w:val="false"/>
          <w:i w:val="false"/>
          <w:color w:val="000000"/>
          <w:sz w:val="28"/>
        </w:rPr>
        <w:t>
      3. Указанные меры контроля не применяются в отношении последовательностей нуклеиновых кислот, связанных с патогенностью энтерогеморрагической Escherichiacoli, серотип О157, или другими штаммами, продуцирующими веротоксин, кроме тех, которые кодируют веротоксин или его субъединицы.";</w:t>
      </w:r>
    </w:p>
    <w:bookmarkStart w:name="z1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"по пункту 1С351.с. не контролируются вакцины, удовлетворяющие следующим критериям:":</w:t>
      </w:r>
    </w:p>
    <w:bookmarkEnd w:id="16"/>
    <w:bookmarkStart w:name="z18" w:id="17"/>
    <w:p>
      <w:pPr>
        <w:spacing w:after="0"/>
        <w:ind w:left="0"/>
        <w:jc w:val="both"/>
      </w:pPr>
      <w:r>
        <w:rPr>
          <w:rFonts w:ascii="Times New Roman"/>
          <w:b w:val="false"/>
          <w:i w:val="false"/>
          <w:color w:val="000000"/>
          <w:sz w:val="28"/>
        </w:rPr>
        <w:t>
      абзац d дополнить пунктом 20 следующего содержания:</w:t>
      </w:r>
    </w:p>
    <w:bookmarkEnd w:id="17"/>
    <w:p>
      <w:pPr>
        <w:spacing w:after="0"/>
        <w:ind w:left="0"/>
        <w:jc w:val="both"/>
      </w:pPr>
      <w:r>
        <w:rPr>
          <w:rFonts w:ascii="Times New Roman"/>
          <w:b w:val="false"/>
          <w:i w:val="false"/>
          <w:color w:val="000000"/>
          <w:sz w:val="28"/>
        </w:rPr>
        <w:t>
      "20. Альфа-токсин гемолизина и токсин синдрома токсического шока (ранее известный как энтеротоксин стафилококка тип F (Staphylococcus enterotoxin F).";</w:t>
      </w:r>
    </w:p>
    <w:bookmarkStart w:name="z19" w:id="18"/>
    <w:p>
      <w:pPr>
        <w:spacing w:after="0"/>
        <w:ind w:left="0"/>
        <w:jc w:val="both"/>
      </w:pPr>
      <w:r>
        <w:rPr>
          <w:rFonts w:ascii="Times New Roman"/>
          <w:b w:val="false"/>
          <w:i w:val="false"/>
          <w:color w:val="000000"/>
          <w:sz w:val="28"/>
        </w:rPr>
        <w:t>
      абзац с. части 1С354 "Патогены, опасные для растений, такие как:" дополнить пунктами 7, 8, 9, 10, 11 следующего содержания:</w:t>
      </w:r>
    </w:p>
    <w:bookmarkEnd w:id="18"/>
    <w:p>
      <w:pPr>
        <w:spacing w:after="0"/>
        <w:ind w:left="0"/>
        <w:jc w:val="both"/>
      </w:pPr>
      <w:r>
        <w:rPr>
          <w:rFonts w:ascii="Times New Roman"/>
          <w:b w:val="false"/>
          <w:i w:val="false"/>
          <w:color w:val="000000"/>
          <w:sz w:val="28"/>
        </w:rPr>
        <w:t>
      "7. Пероносклероспора филиппиненсис (Peronosclerospora philippinensis);</w:t>
      </w:r>
    </w:p>
    <w:p>
      <w:pPr>
        <w:spacing w:after="0"/>
        <w:ind w:left="0"/>
        <w:jc w:val="both"/>
      </w:pPr>
      <w:r>
        <w:rPr>
          <w:rFonts w:ascii="Times New Roman"/>
          <w:b w:val="false"/>
          <w:i w:val="false"/>
          <w:color w:val="000000"/>
          <w:sz w:val="28"/>
        </w:rPr>
        <w:t>
      8. Склерофтора райссиэ вариант зиэ (Sclerophthora rayssiae var. zeae);</w:t>
      </w:r>
    </w:p>
    <w:p>
      <w:pPr>
        <w:spacing w:after="0"/>
        <w:ind w:left="0"/>
        <w:jc w:val="both"/>
      </w:pPr>
      <w:r>
        <w:rPr>
          <w:rFonts w:ascii="Times New Roman"/>
          <w:b w:val="false"/>
          <w:i w:val="false"/>
          <w:color w:val="000000"/>
          <w:sz w:val="28"/>
        </w:rPr>
        <w:t xml:space="preserve">
      9. Синхитриумэндобиотикум (Synchytriumendobioticum); </w:t>
      </w:r>
    </w:p>
    <w:p>
      <w:pPr>
        <w:spacing w:after="0"/>
        <w:ind w:left="0"/>
        <w:jc w:val="both"/>
      </w:pPr>
      <w:r>
        <w:rPr>
          <w:rFonts w:ascii="Times New Roman"/>
          <w:b w:val="false"/>
          <w:i w:val="false"/>
          <w:color w:val="000000"/>
          <w:sz w:val="28"/>
        </w:rPr>
        <w:t xml:space="preserve">
      10. Тиллетиаиндика (Tilletiaindica); </w:t>
      </w:r>
    </w:p>
    <w:p>
      <w:pPr>
        <w:spacing w:after="0"/>
        <w:ind w:left="0"/>
        <w:jc w:val="both"/>
      </w:pPr>
      <w:r>
        <w:rPr>
          <w:rFonts w:ascii="Times New Roman"/>
          <w:b w:val="false"/>
          <w:i w:val="false"/>
          <w:color w:val="000000"/>
          <w:sz w:val="28"/>
        </w:rPr>
        <w:t xml:space="preserve">
      11. Текафорасолани (Thecaphorasolani)."; </w:t>
      </w:r>
    </w:p>
    <w:bookmarkStart w:name="z20" w:id="19"/>
    <w:p>
      <w:pPr>
        <w:spacing w:after="0"/>
        <w:ind w:left="0"/>
        <w:jc w:val="both"/>
      </w:pPr>
      <w:r>
        <w:rPr>
          <w:rFonts w:ascii="Times New Roman"/>
          <w:b w:val="false"/>
          <w:i w:val="false"/>
          <w:color w:val="000000"/>
          <w:sz w:val="28"/>
        </w:rPr>
        <w:t>
      абзац d "Вирусы PV1 и PV2;" исключить;</w:t>
      </w:r>
    </w:p>
    <w:bookmarkEnd w:id="19"/>
    <w:bookmarkStart w:name="z21" w:id="20"/>
    <w:p>
      <w:pPr>
        <w:spacing w:after="0"/>
        <w:ind w:left="0"/>
        <w:jc w:val="both"/>
      </w:pPr>
      <w:r>
        <w:rPr>
          <w:rFonts w:ascii="Times New Roman"/>
          <w:b w:val="false"/>
          <w:i w:val="false"/>
          <w:color w:val="000000"/>
          <w:sz w:val="28"/>
        </w:rPr>
        <w:t>
      после части 1Е203 дополнить частью 1Е301 следующего содержания:</w:t>
      </w:r>
    </w:p>
    <w:bookmarkEnd w:id="20"/>
    <w:p>
      <w:pPr>
        <w:spacing w:after="0"/>
        <w:ind w:left="0"/>
        <w:jc w:val="both"/>
      </w:pPr>
      <w:r>
        <w:rPr>
          <w:rFonts w:ascii="Times New Roman"/>
          <w:b w:val="false"/>
          <w:i w:val="false"/>
          <w:color w:val="000000"/>
          <w:sz w:val="28"/>
        </w:rPr>
        <w:t>
      "1Е301. Технологии разработки или производства возбудителей заболеваний (патогенов), указанных в части 1С354.";</w:t>
      </w:r>
    </w:p>
    <w:bookmarkStart w:name="z2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2 "Обработка материалов":</w:t>
      </w:r>
    </w:p>
    <w:bookmarkEnd w:id="21"/>
    <w:bookmarkStart w:name="z23" w:id="22"/>
    <w:p>
      <w:pPr>
        <w:spacing w:after="0"/>
        <w:ind w:left="0"/>
        <w:jc w:val="both"/>
      </w:pPr>
      <w:r>
        <w:rPr>
          <w:rFonts w:ascii="Times New Roman"/>
          <w:b w:val="false"/>
          <w:i w:val="false"/>
          <w:color w:val="000000"/>
          <w:sz w:val="28"/>
        </w:rPr>
        <w:t>
      в части 2В206 "Механизмы, системы или устройства контроля размеров, кроме контролируемых по пункту 2В006, такие как:":</w:t>
      </w:r>
    </w:p>
    <w:bookmarkEnd w:id="22"/>
    <w:bookmarkStart w:name="z24" w:id="23"/>
    <w:p>
      <w:pPr>
        <w:spacing w:after="0"/>
        <w:ind w:left="0"/>
        <w:jc w:val="both"/>
      </w:pPr>
      <w:r>
        <w:rPr>
          <w:rFonts w:ascii="Times New Roman"/>
          <w:b w:val="false"/>
          <w:i w:val="false"/>
          <w:color w:val="000000"/>
          <w:sz w:val="28"/>
        </w:rPr>
        <w:t>
      абзац а. изложить в следующей редакции:</w:t>
      </w:r>
    </w:p>
    <w:bookmarkEnd w:id="23"/>
    <w:p>
      <w:pPr>
        <w:spacing w:after="0"/>
        <w:ind w:left="0"/>
        <w:jc w:val="both"/>
      </w:pPr>
      <w:r>
        <w:rPr>
          <w:rFonts w:ascii="Times New Roman"/>
          <w:b w:val="false"/>
          <w:i w:val="false"/>
          <w:color w:val="000000"/>
          <w:sz w:val="28"/>
        </w:rPr>
        <w:t xml:space="preserve">
      "a. Управляемые компьютером или блоком ЧПУ координатно-измерительные машины (КИМ), обладающие обеими следующими характеристиками: </w:t>
      </w:r>
    </w:p>
    <w:p>
      <w:pPr>
        <w:spacing w:after="0"/>
        <w:ind w:left="0"/>
        <w:jc w:val="both"/>
      </w:pPr>
      <w:r>
        <w:rPr>
          <w:rFonts w:ascii="Times New Roman"/>
          <w:b w:val="false"/>
          <w:i w:val="false"/>
          <w:color w:val="000000"/>
          <w:sz w:val="28"/>
        </w:rPr>
        <w:t>
      1. Две или более координатных оси; и</w:t>
      </w:r>
    </w:p>
    <w:p>
      <w:pPr>
        <w:spacing w:after="0"/>
        <w:ind w:left="0"/>
        <w:jc w:val="both"/>
      </w:pPr>
      <w:r>
        <w:rPr>
          <w:rFonts w:ascii="Times New Roman"/>
          <w:b w:val="false"/>
          <w:i w:val="false"/>
          <w:color w:val="000000"/>
          <w:sz w:val="28"/>
        </w:rPr>
        <w:t>
      2. Максимальную допустимую погрешность (одномерного) измерения длины (Е</w:t>
      </w:r>
      <w:r>
        <w:rPr>
          <w:rFonts w:ascii="Times New Roman"/>
          <w:b w:val="false"/>
          <w:i w:val="false"/>
          <w:color w:val="000000"/>
          <w:vertAlign w:val="subscript"/>
        </w:rPr>
        <w:t>0мдп</w:t>
      </w:r>
      <w:r>
        <w:rPr>
          <w:rFonts w:ascii="Times New Roman"/>
          <w:b w:val="false"/>
          <w:i w:val="false"/>
          <w:color w:val="000000"/>
          <w:sz w:val="28"/>
        </w:rPr>
        <w:t>) вдоль любой оси, определенной как Е</w:t>
      </w:r>
      <w:r>
        <w:rPr>
          <w:rFonts w:ascii="Times New Roman"/>
          <w:b w:val="false"/>
          <w:i w:val="false"/>
          <w:color w:val="000000"/>
          <w:vertAlign w:val="subscript"/>
        </w:rPr>
        <w:t>0х</w:t>
      </w:r>
      <w:r>
        <w:rPr>
          <w:rFonts w:ascii="Times New Roman"/>
          <w:b w:val="false"/>
          <w:i w:val="false"/>
          <w:color w:val="000000"/>
          <w:sz w:val="28"/>
        </w:rPr>
        <w:t xml:space="preserve"> Е</w:t>
      </w:r>
      <w:r>
        <w:rPr>
          <w:rFonts w:ascii="Times New Roman"/>
          <w:b w:val="false"/>
          <w:i w:val="false"/>
          <w:color w:val="000000"/>
          <w:vertAlign w:val="subscript"/>
        </w:rPr>
        <w:t>0у</w:t>
      </w:r>
      <w:r>
        <w:rPr>
          <w:rFonts w:ascii="Times New Roman"/>
          <w:b w:val="false"/>
          <w:i w:val="false"/>
          <w:color w:val="000000"/>
          <w:sz w:val="28"/>
        </w:rPr>
        <w:t xml:space="preserve"> или Е</w:t>
      </w:r>
      <w:r>
        <w:rPr>
          <w:rFonts w:ascii="Times New Roman"/>
          <w:b w:val="false"/>
          <w:i w:val="false"/>
          <w:color w:val="000000"/>
          <w:vertAlign w:val="subscript"/>
        </w:rPr>
        <w:t>0z</w:t>
      </w:r>
      <w:r>
        <w:rPr>
          <w:rFonts w:ascii="Times New Roman"/>
          <w:b w:val="false"/>
          <w:i w:val="false"/>
          <w:color w:val="000000"/>
          <w:sz w:val="28"/>
        </w:rPr>
        <w:t>, равную или меньше (лучшую) чем (1,25 + L/1000)мкм (где L измеряемая длина в миллиметрах) в любой точке в пределах рабочего диапазона машины (т.е. в пределах длины оси), проверенную в соответствии с ИСО 10360-2 (2009).";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"Примечание 2: системы, описанные в пункте 2В206, подлежат экспортному контролю, если они превосходят подлежащие экспортному контролю образцы где-либо в их рабочем диапазоне.</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Все параметры измеряемых величин в этом пункте представляют плюс/минус, т.е. не общий диапазон.";</w:t>
      </w:r>
    </w:p>
    <w:bookmarkStart w:name="z26" w:id="24"/>
    <w:p>
      <w:pPr>
        <w:spacing w:after="0"/>
        <w:ind w:left="0"/>
        <w:jc w:val="both"/>
      </w:pPr>
      <w:r>
        <w:rPr>
          <w:rFonts w:ascii="Times New Roman"/>
          <w:b w:val="false"/>
          <w:i w:val="false"/>
          <w:color w:val="000000"/>
          <w:sz w:val="28"/>
        </w:rPr>
        <w:t>
      абзац с. части 2B231 "Вакуумные насосы, обладающие всеми из нижеперечисленных характеристик:" изложить в следующей редакции:</w:t>
      </w:r>
    </w:p>
    <w:bookmarkEnd w:id="24"/>
    <w:p>
      <w:pPr>
        <w:spacing w:after="0"/>
        <w:ind w:left="0"/>
        <w:jc w:val="both"/>
      </w:pPr>
      <w:r>
        <w:rPr>
          <w:rFonts w:ascii="Times New Roman"/>
          <w:b w:val="false"/>
          <w:i w:val="false"/>
          <w:color w:val="000000"/>
          <w:sz w:val="28"/>
        </w:rPr>
        <w:t xml:space="preserve">
      "c. Способные создавать предельный вакуум менее 13,3 мПа."; </w:t>
      </w:r>
    </w:p>
    <w:bookmarkStart w:name="z27" w:id="25"/>
    <w:p>
      <w:pPr>
        <w:spacing w:after="0"/>
        <w:ind w:left="0"/>
        <w:jc w:val="both"/>
      </w:pPr>
      <w:r>
        <w:rPr>
          <w:rFonts w:ascii="Times New Roman"/>
          <w:b w:val="false"/>
          <w:i w:val="false"/>
          <w:color w:val="000000"/>
          <w:sz w:val="28"/>
        </w:rPr>
        <w:t>
      абзацы k, l, m, n, o части 2В350 "Химические производственные установки и оборудование, такие как:" изложить в следующей редакции:</w:t>
      </w:r>
    </w:p>
    <w:bookmarkEnd w:id="25"/>
    <w:p>
      <w:pPr>
        <w:spacing w:after="0"/>
        <w:ind w:left="0"/>
        <w:jc w:val="both"/>
      </w:pPr>
      <w:r>
        <w:rPr>
          <w:rFonts w:ascii="Times New Roman"/>
          <w:b w:val="false"/>
          <w:i w:val="false"/>
          <w:color w:val="000000"/>
          <w:sz w:val="28"/>
        </w:rPr>
        <w:t>
      "k. Реакционные сосуды, реакторы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l. Баки для хранения, контейнеры или приемные резервуары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m. Теплообменники или конденсационные аппараты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n. Ректификационные или поглотительные колонки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o. Клапаны, которые изготовлены из следующих материалов:</w:t>
      </w:r>
    </w:p>
    <w:p>
      <w:pPr>
        <w:spacing w:after="0"/>
        <w:ind w:left="0"/>
        <w:jc w:val="both"/>
      </w:pPr>
      <w:r>
        <w:rPr>
          <w:rFonts w:ascii="Times New Roman"/>
          <w:b w:val="false"/>
          <w:i w:val="false"/>
          <w:color w:val="000000"/>
          <w:sz w:val="28"/>
        </w:rPr>
        <w:t>
      1.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2. Керамических материалов, включая кремниевый карбид с чистотой 80 % или более по весу, алюминиевая окись (алюминий-оксидный) с чистотой 99,99 % или более по весу или окись циркония (двуокись циркония).";</w:t>
      </w:r>
    </w:p>
    <w:bookmarkStart w:name="z28" w:id="26"/>
    <w:p>
      <w:pPr>
        <w:spacing w:after="0"/>
        <w:ind w:left="0"/>
        <w:jc w:val="both"/>
      </w:pPr>
      <w:r>
        <w:rPr>
          <w:rFonts w:ascii="Times New Roman"/>
          <w:b w:val="false"/>
          <w:i w:val="false"/>
          <w:color w:val="000000"/>
          <w:sz w:val="28"/>
        </w:rPr>
        <w:t>
      дополнить абзацами p, r, s, t следующего содержания:</w:t>
      </w:r>
    </w:p>
    <w:bookmarkEnd w:id="26"/>
    <w:p>
      <w:pPr>
        <w:spacing w:after="0"/>
        <w:ind w:left="0"/>
        <w:jc w:val="both"/>
      </w:pPr>
      <w:r>
        <w:rPr>
          <w:rFonts w:ascii="Times New Roman"/>
          <w:b w:val="false"/>
          <w:i w:val="false"/>
          <w:color w:val="000000"/>
          <w:sz w:val="28"/>
        </w:rPr>
        <w:t>
      "p. Агитаторы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xml:space="preserve">
      r. Многослойные трубопроводы из ниобия (колумбия) без уплотнителя и с несколькими уплотнителями; </w:t>
      </w:r>
    </w:p>
    <w:p>
      <w:pPr>
        <w:spacing w:after="0"/>
        <w:ind w:left="0"/>
        <w:jc w:val="both"/>
      </w:pPr>
      <w:r>
        <w:rPr>
          <w:rFonts w:ascii="Times New Roman"/>
          <w:b w:val="false"/>
          <w:i w:val="false"/>
          <w:color w:val="000000"/>
          <w:sz w:val="28"/>
        </w:rPr>
        <w:t>
      s. Насосы из ниобия (колумбия) без уплотнителя и с несколькими уплотнителями;</w:t>
      </w:r>
    </w:p>
    <w:p>
      <w:pPr>
        <w:spacing w:after="0"/>
        <w:ind w:left="0"/>
        <w:jc w:val="both"/>
      </w:pPr>
      <w:r>
        <w:rPr>
          <w:rFonts w:ascii="Times New Roman"/>
          <w:b w:val="false"/>
          <w:i w:val="false"/>
          <w:color w:val="000000"/>
          <w:sz w:val="28"/>
        </w:rPr>
        <w:t>
      t. Системы мониторинга токсичных газов и их специализированные компоненты обнаружения: датчики; сенсорные устройства; сменные картриджи сенсора; и специализированное программное обеспечение, таким образом:</w:t>
      </w:r>
    </w:p>
    <w:p>
      <w:pPr>
        <w:spacing w:after="0"/>
        <w:ind w:left="0"/>
        <w:jc w:val="both"/>
      </w:pPr>
      <w:r>
        <w:rPr>
          <w:rFonts w:ascii="Times New Roman"/>
          <w:b w:val="false"/>
          <w:i w:val="false"/>
          <w:color w:val="000000"/>
          <w:sz w:val="28"/>
        </w:rPr>
        <w:t>
      1. Разработано для непрерывной работы и применимо для обнаружения боевых химических веществ или контролируемых АГ прекурсоров при концентрациях менее 0,3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Разработано для обнаружения холинестераза.";</w:t>
      </w:r>
    </w:p>
    <w:bookmarkStart w:name="z29" w:id="27"/>
    <w:p>
      <w:pPr>
        <w:spacing w:after="0"/>
        <w:ind w:left="0"/>
        <w:jc w:val="both"/>
      </w:pPr>
      <w:r>
        <w:rPr>
          <w:rFonts w:ascii="Times New Roman"/>
          <w:b w:val="false"/>
          <w:i w:val="false"/>
          <w:color w:val="000000"/>
          <w:sz w:val="28"/>
        </w:rPr>
        <w:t>
      дополнить техническим примечанием следующего содержания:</w:t>
      </w:r>
    </w:p>
    <w:bookmarkEnd w:id="27"/>
    <w:p>
      <w:pPr>
        <w:spacing w:after="0"/>
        <w:ind w:left="0"/>
        <w:jc w:val="both"/>
      </w:pPr>
      <w:r>
        <w:rPr>
          <w:rFonts w:ascii="Times New Roman"/>
          <w:b w:val="false"/>
          <w:i w:val="false"/>
          <w:color w:val="000000"/>
          <w:sz w:val="28"/>
        </w:rPr>
        <w:t>
      "Техническое примечание: материалы, из которых изготовлены прокладки, упаковка, уплотнители, винты, шайбы или любые другие материалы, выполняющие герметизирующую функцию, не определяют статус контроля упомянутых выше пунктов, при условии, что такие компоненты разработаны как сменные.";</w:t>
      </w:r>
    </w:p>
    <w:bookmarkStart w:name="z3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категория 3 "Электроника":</w:t>
      </w:r>
    </w:p>
    <w:bookmarkEnd w:id="28"/>
    <w:bookmarkStart w:name="z31" w:id="29"/>
    <w:p>
      <w:pPr>
        <w:spacing w:after="0"/>
        <w:ind w:left="0"/>
        <w:jc w:val="both"/>
      </w:pPr>
      <w:r>
        <w:rPr>
          <w:rFonts w:ascii="Times New Roman"/>
          <w:b w:val="false"/>
          <w:i w:val="false"/>
          <w:color w:val="000000"/>
          <w:sz w:val="28"/>
        </w:rPr>
        <w:t>
      в части 3A228 "Переключающие устройства, такие как:":</w:t>
      </w:r>
    </w:p>
    <w:bookmarkEnd w:id="29"/>
    <w:bookmarkStart w:name="z32" w:id="30"/>
    <w:p>
      <w:pPr>
        <w:spacing w:after="0"/>
        <w:ind w:left="0"/>
        <w:jc w:val="both"/>
      </w:pPr>
      <w:r>
        <w:rPr>
          <w:rFonts w:ascii="Times New Roman"/>
          <w:b w:val="false"/>
          <w:i w:val="false"/>
          <w:color w:val="000000"/>
          <w:sz w:val="28"/>
        </w:rPr>
        <w:t>
      абзац первый абзаца a. изложить в следующей редакции:</w:t>
      </w:r>
    </w:p>
    <w:bookmarkEnd w:id="30"/>
    <w:p>
      <w:pPr>
        <w:spacing w:after="0"/>
        <w:ind w:left="0"/>
        <w:jc w:val="both"/>
      </w:pPr>
      <w:r>
        <w:rPr>
          <w:rFonts w:ascii="Times New Roman"/>
          <w:b w:val="false"/>
          <w:i w:val="false"/>
          <w:color w:val="000000"/>
          <w:sz w:val="28"/>
        </w:rPr>
        <w:t>
      "a. Трубки с холодным катодом, независимо от того, заполнены они газом или нет, действующие как искровой разрядник и обладающие всеми следующими характеристиками:";</w:t>
      </w:r>
    </w:p>
    <w:bookmarkStart w:name="z3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"Товары и технологии военного применения (назначения) (далее - военный список)":</w:t>
      </w:r>
    </w:p>
    <w:bookmarkEnd w:id="31"/>
    <w:bookmarkStart w:name="z34" w:id="32"/>
    <w:p>
      <w:pPr>
        <w:spacing w:after="0"/>
        <w:ind w:left="0"/>
        <w:jc w:val="both"/>
      </w:pPr>
      <w:r>
        <w:rPr>
          <w:rFonts w:ascii="Times New Roman"/>
          <w:b w:val="false"/>
          <w:i w:val="false"/>
          <w:color w:val="000000"/>
          <w:sz w:val="28"/>
        </w:rPr>
        <w:t>
      часть вторую подраздела "Общее химическое замечание" исключить;</w:t>
      </w:r>
    </w:p>
    <w:bookmarkEnd w:id="32"/>
    <w:bookmarkStart w:name="z35" w:id="33"/>
    <w:p>
      <w:pPr>
        <w:spacing w:after="0"/>
        <w:ind w:left="0"/>
        <w:jc w:val="both"/>
      </w:pPr>
      <w:r>
        <w:rPr>
          <w:rFonts w:ascii="Times New Roman"/>
          <w:b w:val="false"/>
          <w:i w:val="false"/>
          <w:color w:val="000000"/>
          <w:sz w:val="28"/>
        </w:rPr>
        <w:t>
      в части ML4 "Бомбы, торпеды, реактивные снаряды, ракеты, другие взрывные устройства и заряды, сопутствующие оборудование и аксессуары, специально сконструированные для военного применения, и специально сконструированные для них компоненты:":</w:t>
      </w:r>
    </w:p>
    <w:bookmarkEnd w:id="33"/>
    <w:bookmarkStart w:name="z36" w:id="34"/>
    <w:p>
      <w:pPr>
        <w:spacing w:after="0"/>
        <w:ind w:left="0"/>
        <w:jc w:val="both"/>
      </w:pPr>
      <w:r>
        <w:rPr>
          <w:rFonts w:ascii="Times New Roman"/>
          <w:b w:val="false"/>
          <w:i w:val="false"/>
          <w:color w:val="000000"/>
          <w:sz w:val="28"/>
        </w:rPr>
        <w:t>
      дополнить абзацем третьим следующего содержания:</w:t>
      </w:r>
    </w:p>
    <w:bookmarkEnd w:id="34"/>
    <w:p>
      <w:pPr>
        <w:spacing w:after="0"/>
        <w:ind w:left="0"/>
        <w:jc w:val="both"/>
      </w:pPr>
      <w:r>
        <w:rPr>
          <w:rFonts w:ascii="Times New Roman"/>
          <w:b w:val="false"/>
          <w:i w:val="false"/>
          <w:color w:val="000000"/>
          <w:sz w:val="28"/>
        </w:rPr>
        <w:t>
      "Примечание: для систем противоракетной защиты самолета (СПЗС), см. ML4.c.";</w:t>
      </w:r>
    </w:p>
    <w:bookmarkStart w:name="z37" w:id="35"/>
    <w:p>
      <w:pPr>
        <w:spacing w:after="0"/>
        <w:ind w:left="0"/>
        <w:jc w:val="both"/>
      </w:pPr>
      <w:r>
        <w:rPr>
          <w:rFonts w:ascii="Times New Roman"/>
          <w:b w:val="false"/>
          <w:i w:val="false"/>
          <w:color w:val="000000"/>
          <w:sz w:val="28"/>
        </w:rPr>
        <w:t>
      примечание "ML4 (а) включает" дополнить абзацем (с) следующего содержания:</w:t>
      </w:r>
    </w:p>
    <w:bookmarkEnd w:id="35"/>
    <w:p>
      <w:pPr>
        <w:spacing w:after="0"/>
        <w:ind w:left="0"/>
        <w:jc w:val="both"/>
      </w:pPr>
      <w:r>
        <w:rPr>
          <w:rFonts w:ascii="Times New Roman"/>
          <w:b w:val="false"/>
          <w:i w:val="false"/>
          <w:color w:val="000000"/>
          <w:sz w:val="28"/>
        </w:rPr>
        <w:t>
      "(c) Система противоракетной защиты самолета (СПЗС).";</w:t>
      </w:r>
    </w:p>
    <w:bookmarkStart w:name="z38" w:id="36"/>
    <w:p>
      <w:pPr>
        <w:spacing w:after="0"/>
        <w:ind w:left="0"/>
        <w:jc w:val="both"/>
      </w:pPr>
      <w:r>
        <w:rPr>
          <w:rFonts w:ascii="Times New Roman"/>
          <w:b w:val="false"/>
          <w:i w:val="false"/>
          <w:color w:val="000000"/>
          <w:sz w:val="28"/>
        </w:rPr>
        <w:t>
      дополнить примечанием ML4 (c) следующего содержания:</w:t>
      </w:r>
    </w:p>
    <w:bookmarkEnd w:id="36"/>
    <w:p>
      <w:pPr>
        <w:spacing w:after="0"/>
        <w:ind w:left="0"/>
        <w:jc w:val="both"/>
      </w:pPr>
      <w:r>
        <w:rPr>
          <w:rFonts w:ascii="Times New Roman"/>
          <w:b w:val="false"/>
          <w:i w:val="false"/>
          <w:color w:val="000000"/>
          <w:sz w:val="28"/>
        </w:rPr>
        <w:t>
      "Примечание: ML4 (c) не контролирует СПЗС, имеющие следующие характеристики:</w:t>
      </w:r>
    </w:p>
    <w:p>
      <w:pPr>
        <w:spacing w:after="0"/>
        <w:ind w:left="0"/>
        <w:jc w:val="both"/>
      </w:pPr>
      <w:r>
        <w:rPr>
          <w:rFonts w:ascii="Times New Roman"/>
          <w:b w:val="false"/>
          <w:i w:val="false"/>
          <w:color w:val="000000"/>
          <w:sz w:val="28"/>
        </w:rPr>
        <w:t>
      a. Любые типы противоракетных тревожных сенсоров:</w:t>
      </w:r>
    </w:p>
    <w:p>
      <w:pPr>
        <w:spacing w:after="0"/>
        <w:ind w:left="0"/>
        <w:jc w:val="both"/>
      </w:pPr>
      <w:r>
        <w:rPr>
          <w:rFonts w:ascii="Times New Roman"/>
          <w:b w:val="false"/>
          <w:i w:val="false"/>
          <w:color w:val="000000"/>
          <w:sz w:val="28"/>
        </w:rPr>
        <w:t xml:space="preserve">
      1. Пассивные сенсоры, имеющие максимальный отклик между 100-400 нм; или </w:t>
      </w:r>
    </w:p>
    <w:p>
      <w:pPr>
        <w:spacing w:after="0"/>
        <w:ind w:left="0"/>
        <w:jc w:val="both"/>
      </w:pPr>
      <w:r>
        <w:rPr>
          <w:rFonts w:ascii="Times New Roman"/>
          <w:b w:val="false"/>
          <w:i w:val="false"/>
          <w:color w:val="000000"/>
          <w:sz w:val="28"/>
        </w:rPr>
        <w:t>
      2. Активные пульсовые Допплеровские противоракетные тревожные сенсоры;</w:t>
      </w:r>
    </w:p>
    <w:p>
      <w:pPr>
        <w:spacing w:after="0"/>
        <w:ind w:left="0"/>
        <w:jc w:val="both"/>
      </w:pPr>
      <w:r>
        <w:rPr>
          <w:rFonts w:ascii="Times New Roman"/>
          <w:b w:val="false"/>
          <w:i w:val="false"/>
          <w:color w:val="000000"/>
          <w:sz w:val="28"/>
        </w:rPr>
        <w:t>
      b. система сбрасывания средств радиоэлектронного подавления (РЭП);</w:t>
      </w:r>
    </w:p>
    <w:p>
      <w:pPr>
        <w:spacing w:after="0"/>
        <w:ind w:left="0"/>
        <w:jc w:val="both"/>
      </w:pPr>
      <w:r>
        <w:rPr>
          <w:rFonts w:ascii="Times New Roman"/>
          <w:b w:val="false"/>
          <w:i w:val="false"/>
          <w:color w:val="000000"/>
          <w:sz w:val="28"/>
        </w:rPr>
        <w:t>
      c. Сигнальные ловушки, которые показывают равно видимый и инфракрасный след, для уклонения от ракет класса "земля-воздух";</w:t>
      </w:r>
    </w:p>
    <w:p>
      <w:pPr>
        <w:spacing w:after="0"/>
        <w:ind w:left="0"/>
        <w:jc w:val="both"/>
      </w:pPr>
      <w:r>
        <w:rPr>
          <w:rFonts w:ascii="Times New Roman"/>
          <w:b w:val="false"/>
          <w:i w:val="false"/>
          <w:color w:val="000000"/>
          <w:sz w:val="28"/>
        </w:rPr>
        <w:t>
      d. Установленные на "гражданском самолете", имеющие следующие характеристики:</w:t>
      </w:r>
    </w:p>
    <w:p>
      <w:pPr>
        <w:spacing w:after="0"/>
        <w:ind w:left="0"/>
        <w:jc w:val="both"/>
      </w:pPr>
      <w:r>
        <w:rPr>
          <w:rFonts w:ascii="Times New Roman"/>
          <w:b w:val="false"/>
          <w:i w:val="false"/>
          <w:color w:val="000000"/>
          <w:sz w:val="28"/>
        </w:rPr>
        <w:t>
      1. СПЗС может функционировать только в специальном "гражданском самолете", на котором установлена специальная СПЗС и для которой выданы следующие документы:</w:t>
      </w:r>
    </w:p>
    <w:p>
      <w:pPr>
        <w:spacing w:after="0"/>
        <w:ind w:left="0"/>
        <w:jc w:val="both"/>
      </w:pPr>
      <w:r>
        <w:rPr>
          <w:rFonts w:ascii="Times New Roman"/>
          <w:b w:val="false"/>
          <w:i w:val="false"/>
          <w:color w:val="000000"/>
          <w:sz w:val="28"/>
        </w:rPr>
        <w:t>
      a. Гражданский типовой сертификат; или</w:t>
      </w:r>
    </w:p>
    <w:p>
      <w:pPr>
        <w:spacing w:after="0"/>
        <w:ind w:left="0"/>
        <w:jc w:val="both"/>
      </w:pPr>
      <w:r>
        <w:rPr>
          <w:rFonts w:ascii="Times New Roman"/>
          <w:b w:val="false"/>
          <w:i w:val="false"/>
          <w:color w:val="000000"/>
          <w:sz w:val="28"/>
        </w:rPr>
        <w:t>
      b. Равноценный документ, признанный Международной организацией гражданской авиации (ИКАО);</w:t>
      </w:r>
    </w:p>
    <w:p>
      <w:pPr>
        <w:spacing w:after="0"/>
        <w:ind w:left="0"/>
        <w:jc w:val="both"/>
      </w:pPr>
      <w:r>
        <w:rPr>
          <w:rFonts w:ascii="Times New Roman"/>
          <w:b w:val="false"/>
          <w:i w:val="false"/>
          <w:color w:val="000000"/>
          <w:sz w:val="28"/>
        </w:rPr>
        <w:t xml:space="preserve">
      2. СПЗС предусматривает защиту от несанкционированного доступа к программному обеспечению; и </w:t>
      </w:r>
    </w:p>
    <w:p>
      <w:pPr>
        <w:spacing w:after="0"/>
        <w:ind w:left="0"/>
        <w:jc w:val="both"/>
      </w:pPr>
      <w:r>
        <w:rPr>
          <w:rFonts w:ascii="Times New Roman"/>
          <w:b w:val="false"/>
          <w:i w:val="false"/>
          <w:color w:val="000000"/>
          <w:sz w:val="28"/>
        </w:rPr>
        <w:t>
      3. СПЗМ включает в себя активный механизм, который блокирует работу системы в том случае, если она деинсталлирована из "гражданского самолета", на котором она была установлена.";</w:t>
      </w:r>
    </w:p>
    <w:bookmarkStart w:name="z40" w:id="37"/>
    <w:p>
      <w:pPr>
        <w:spacing w:after="0"/>
        <w:ind w:left="0"/>
        <w:jc w:val="both"/>
      </w:pPr>
      <w:r>
        <w:rPr>
          <w:rFonts w:ascii="Times New Roman"/>
          <w:b w:val="false"/>
          <w:i w:val="false"/>
          <w:color w:val="000000"/>
          <w:sz w:val="28"/>
        </w:rPr>
        <w:t>
      часть ML5 "Нижеперечисленная аппаратура управления огнем, сопутствующее оборудование приведения в боевую готовность и оповещения, сопутствующие системы, оборудование для проведения испытаний, регулировки и компланарности и аппаратура противодействия, специально сконструированная для военного назначения, и специально сконструированные для них компоненты:" дополнить примечанием следующего содержания:</w:t>
      </w:r>
    </w:p>
    <w:bookmarkEnd w:id="37"/>
    <w:p>
      <w:pPr>
        <w:spacing w:after="0"/>
        <w:ind w:left="0"/>
        <w:jc w:val="both"/>
      </w:pPr>
      <w:r>
        <w:rPr>
          <w:rFonts w:ascii="Times New Roman"/>
          <w:b w:val="false"/>
          <w:i w:val="false"/>
          <w:color w:val="000000"/>
          <w:sz w:val="28"/>
        </w:rPr>
        <w:t>
      "Примечание: для пункта ML5.(c.) аппаратура противодействия включает аппаратуру обнаружения.";</w:t>
      </w:r>
    </w:p>
    <w:bookmarkStart w:name="z41" w:id="38"/>
    <w:p>
      <w:pPr>
        <w:spacing w:after="0"/>
        <w:ind w:left="0"/>
        <w:jc w:val="both"/>
      </w:pPr>
      <w:r>
        <w:rPr>
          <w:rFonts w:ascii="Times New Roman"/>
          <w:b w:val="false"/>
          <w:i w:val="false"/>
          <w:color w:val="000000"/>
          <w:sz w:val="28"/>
        </w:rPr>
        <w:t>
      часть ML6 "Наземные транспортные средства и компоненты для них:" дополнить примечанием 4 следующего содержания:</w:t>
      </w:r>
    </w:p>
    <w:bookmarkEnd w:id="38"/>
    <w:p>
      <w:pPr>
        <w:spacing w:after="0"/>
        <w:ind w:left="0"/>
        <w:jc w:val="both"/>
      </w:pPr>
      <w:r>
        <w:rPr>
          <w:rFonts w:ascii="Times New Roman"/>
          <w:b w:val="false"/>
          <w:i w:val="false"/>
          <w:color w:val="000000"/>
          <w:sz w:val="28"/>
        </w:rPr>
        <w:t>
      "Примечание 4: ML6 не контролирует транспортные средства, которые соответствуют следующим требованиям;</w:t>
      </w:r>
    </w:p>
    <w:p>
      <w:pPr>
        <w:spacing w:after="0"/>
        <w:ind w:left="0"/>
        <w:jc w:val="both"/>
      </w:pPr>
      <w:r>
        <w:rPr>
          <w:rFonts w:ascii="Times New Roman"/>
          <w:b w:val="false"/>
          <w:i w:val="false"/>
          <w:color w:val="000000"/>
          <w:sz w:val="28"/>
        </w:rPr>
        <w:t>
      a. Были произведены до 1946 года.</w:t>
      </w:r>
    </w:p>
    <w:p>
      <w:pPr>
        <w:spacing w:after="0"/>
        <w:ind w:left="0"/>
        <w:jc w:val="both"/>
      </w:pPr>
      <w:r>
        <w:rPr>
          <w:rFonts w:ascii="Times New Roman"/>
          <w:b w:val="false"/>
          <w:i w:val="false"/>
          <w:color w:val="000000"/>
          <w:sz w:val="28"/>
        </w:rPr>
        <w:t>
      b. Не имеют принадлежностей, указанных в военном списке, и произведены после 1945 года, за исключением репродукций оригинальных компонентов или аксессуаров для транспортного средства; и</w:t>
      </w:r>
    </w:p>
    <w:p>
      <w:pPr>
        <w:spacing w:after="0"/>
        <w:ind w:left="0"/>
        <w:jc w:val="both"/>
      </w:pPr>
      <w:r>
        <w:rPr>
          <w:rFonts w:ascii="Times New Roman"/>
          <w:b w:val="false"/>
          <w:i w:val="false"/>
          <w:color w:val="000000"/>
          <w:sz w:val="28"/>
        </w:rPr>
        <w:t>
      c. Не включают вооружение, указанное в ML1., ML2. или ML4, кроме случаев, когда оно в нерабочем состоянии и не годится для расснаряжения на осколки.";</w:t>
      </w:r>
    </w:p>
    <w:bookmarkStart w:name="z43" w:id="39"/>
    <w:p>
      <w:pPr>
        <w:spacing w:after="0"/>
        <w:ind w:left="0"/>
        <w:jc w:val="both"/>
      </w:pPr>
      <w:r>
        <w:rPr>
          <w:rFonts w:ascii="Times New Roman"/>
          <w:b w:val="false"/>
          <w:i w:val="false"/>
          <w:color w:val="000000"/>
          <w:sz w:val="28"/>
        </w:rPr>
        <w:t>
      в абзаце (а) части ML8 "Следующие "энергетические материалы" и сопутствующие вещества:":</w:t>
      </w:r>
    </w:p>
    <w:bookmarkEnd w:id="39"/>
    <w:bookmarkStart w:name="z42" w:id="40"/>
    <w:p>
      <w:pPr>
        <w:spacing w:after="0"/>
        <w:ind w:left="0"/>
        <w:jc w:val="both"/>
      </w:pPr>
      <w:r>
        <w:rPr>
          <w:rFonts w:ascii="Times New Roman"/>
          <w:b w:val="false"/>
          <w:i w:val="false"/>
          <w:color w:val="000000"/>
          <w:sz w:val="28"/>
        </w:rPr>
        <w:t>
      абзац b пункта 34 дополнить пунктом 7 следующего содержания:</w:t>
      </w:r>
    </w:p>
    <w:bookmarkEnd w:id="40"/>
    <w:p>
      <w:pPr>
        <w:spacing w:after="0"/>
        <w:ind w:left="0"/>
        <w:jc w:val="both"/>
      </w:pPr>
      <w:r>
        <w:rPr>
          <w:rFonts w:ascii="Times New Roman"/>
          <w:b w:val="false"/>
          <w:i w:val="false"/>
          <w:color w:val="000000"/>
          <w:sz w:val="28"/>
        </w:rPr>
        <w:t>
      "7. Ракетное топливо, не упомянутое в военном списке, специально разработанное для военных целей.";</w:t>
      </w:r>
    </w:p>
    <w:bookmarkStart w:name="z44" w:id="41"/>
    <w:p>
      <w:pPr>
        <w:spacing w:after="0"/>
        <w:ind w:left="0"/>
        <w:jc w:val="both"/>
      </w:pPr>
      <w:r>
        <w:rPr>
          <w:rFonts w:ascii="Times New Roman"/>
          <w:b w:val="false"/>
          <w:i w:val="false"/>
          <w:color w:val="000000"/>
          <w:sz w:val="28"/>
        </w:rPr>
        <w:t>
      абзац (а) части ML9 "Следующие военные корабли, специальное военно-морское оборудование, аксессуары и компоненты для них, специально сконструированные для военного применения:" изложить в следующей редакции:</w:t>
      </w:r>
    </w:p>
    <w:bookmarkEnd w:id="41"/>
    <w:p>
      <w:pPr>
        <w:spacing w:after="0"/>
        <w:ind w:left="0"/>
        <w:jc w:val="both"/>
      </w:pPr>
      <w:r>
        <w:rPr>
          <w:rFonts w:ascii="Times New Roman"/>
          <w:b w:val="false"/>
          <w:i w:val="false"/>
          <w:color w:val="000000"/>
          <w:sz w:val="28"/>
        </w:rPr>
        <w:t>
      "(a) Военные корабли и корабли (надводные или подводные), специально сконструированные или модифицированные для наступательных или оборонительных действий, независимо от того, перепрофилированы ли они для невоенного использования, от состояния и функциональной готовности, от наличия или отсутствия систем вооружения и защиты, а также каркасы или части каркаса для таких кораблей.</w:t>
      </w:r>
    </w:p>
    <w:p>
      <w:pPr>
        <w:spacing w:after="0"/>
        <w:ind w:left="0"/>
        <w:jc w:val="both"/>
      </w:pPr>
      <w:r>
        <w:rPr>
          <w:rFonts w:ascii="Times New Roman"/>
          <w:b w:val="false"/>
          <w:i w:val="false"/>
          <w:color w:val="000000"/>
          <w:sz w:val="28"/>
        </w:rPr>
        <w:t>
      Надводные корабли, различные, чем которые указаны в ML9.a.1., имеющие следующее, зафиксированные или интегрированные в корабль:</w:t>
      </w:r>
    </w:p>
    <w:p>
      <w:pPr>
        <w:spacing w:after="0"/>
        <w:ind w:left="0"/>
        <w:jc w:val="both"/>
      </w:pPr>
      <w:r>
        <w:rPr>
          <w:rFonts w:ascii="Times New Roman"/>
          <w:b w:val="false"/>
          <w:i w:val="false"/>
          <w:color w:val="000000"/>
          <w:sz w:val="28"/>
        </w:rPr>
        <w:t>
      a. Автоматическое оружие калибра 12.7 мм или более, указанное в ML1., или оружие, указанное в ML2., ML4., ML12. или ML19., или "крепления" или твердая платформа для подобного оружия;</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"Крепления" подразумевают оружейные крепления или структурное усиление в целях установки вооружения.</w:t>
      </w:r>
    </w:p>
    <w:p>
      <w:pPr>
        <w:spacing w:after="0"/>
        <w:ind w:left="0"/>
        <w:jc w:val="both"/>
      </w:pPr>
      <w:r>
        <w:rPr>
          <w:rFonts w:ascii="Times New Roman"/>
          <w:b w:val="false"/>
          <w:i w:val="false"/>
          <w:color w:val="000000"/>
          <w:sz w:val="28"/>
        </w:rPr>
        <w:t>
      b. Системы управления огнем, указанные в ML5.;</w:t>
      </w:r>
    </w:p>
    <w:p>
      <w:pPr>
        <w:spacing w:after="0"/>
        <w:ind w:left="0"/>
        <w:jc w:val="both"/>
      </w:pPr>
      <w:r>
        <w:rPr>
          <w:rFonts w:ascii="Times New Roman"/>
          <w:b w:val="false"/>
          <w:i w:val="false"/>
          <w:color w:val="000000"/>
          <w:sz w:val="28"/>
        </w:rPr>
        <w:t>
      c. Имеющие следующие признаки:</w:t>
      </w:r>
    </w:p>
    <w:p>
      <w:pPr>
        <w:spacing w:after="0"/>
        <w:ind w:left="0"/>
        <w:jc w:val="both"/>
      </w:pPr>
      <w:r>
        <w:rPr>
          <w:rFonts w:ascii="Times New Roman"/>
          <w:b w:val="false"/>
          <w:i w:val="false"/>
          <w:color w:val="000000"/>
          <w:sz w:val="28"/>
        </w:rPr>
        <w:t>
      1. "Химическая, биологическая, радиологическая и радиационная (РХБЗ) защита"; и</w:t>
      </w:r>
    </w:p>
    <w:p>
      <w:pPr>
        <w:spacing w:after="0"/>
        <w:ind w:left="0"/>
        <w:jc w:val="both"/>
      </w:pPr>
      <w:r>
        <w:rPr>
          <w:rFonts w:ascii="Times New Roman"/>
          <w:b w:val="false"/>
          <w:i w:val="false"/>
          <w:color w:val="000000"/>
          <w:sz w:val="28"/>
        </w:rPr>
        <w:t>
      2. "Промывательная система", разработанная в целях обеззараживания;</w:t>
      </w:r>
    </w:p>
    <w:p>
      <w:pPr>
        <w:spacing w:after="0"/>
        <w:ind w:left="0"/>
        <w:jc w:val="both"/>
      </w:pPr>
      <w:r>
        <w:rPr>
          <w:rFonts w:ascii="Times New Roman"/>
          <w:b w:val="false"/>
          <w:i w:val="false"/>
          <w:color w:val="000000"/>
          <w:sz w:val="28"/>
        </w:rPr>
        <w:t>
      d. Активные системы противодействия оружию, указанные в ML4.b., ML5.c. или ML11.a. и имеющие следующие признаки:</w:t>
      </w:r>
    </w:p>
    <w:p>
      <w:pPr>
        <w:spacing w:after="0"/>
        <w:ind w:left="0"/>
        <w:jc w:val="both"/>
      </w:pPr>
      <w:r>
        <w:rPr>
          <w:rFonts w:ascii="Times New Roman"/>
          <w:b w:val="false"/>
          <w:i w:val="false"/>
          <w:color w:val="000000"/>
          <w:sz w:val="28"/>
        </w:rPr>
        <w:t>
      1. "РХБ защита";</w:t>
      </w:r>
    </w:p>
    <w:p>
      <w:pPr>
        <w:spacing w:after="0"/>
        <w:ind w:left="0"/>
        <w:jc w:val="both"/>
      </w:pPr>
      <w:r>
        <w:rPr>
          <w:rFonts w:ascii="Times New Roman"/>
          <w:b w:val="false"/>
          <w:i w:val="false"/>
          <w:color w:val="000000"/>
          <w:sz w:val="28"/>
        </w:rPr>
        <w:t>
      2. Корпус и надпалубные сооружения, специально разработанные для уменьшения эффективной площади отражения;</w:t>
      </w:r>
    </w:p>
    <w:p>
      <w:pPr>
        <w:spacing w:after="0"/>
        <w:ind w:left="0"/>
        <w:jc w:val="both"/>
      </w:pPr>
      <w:r>
        <w:rPr>
          <w:rFonts w:ascii="Times New Roman"/>
          <w:b w:val="false"/>
          <w:i w:val="false"/>
          <w:color w:val="000000"/>
          <w:sz w:val="28"/>
        </w:rPr>
        <w:t>
      е. Устройства, снижающие тепловые демаскирующие признаки, (например, система охлаждения выхлопных газов), за исключением тех, которые были специально разработаны для повышения общей эффективности электростанций или снижения экологического ущерба; или</w:t>
      </w:r>
    </w:p>
    <w:p>
      <w:pPr>
        <w:spacing w:after="0"/>
        <w:ind w:left="0"/>
        <w:jc w:val="both"/>
      </w:pPr>
      <w:r>
        <w:rPr>
          <w:rFonts w:ascii="Times New Roman"/>
          <w:b w:val="false"/>
          <w:i w:val="false"/>
          <w:color w:val="000000"/>
          <w:sz w:val="28"/>
        </w:rPr>
        <w:t>
      f. A Система размагничивания, разработанная для снижения магнитного поля на всем корабле.";</w:t>
      </w:r>
    </w:p>
    <w:bookmarkStart w:name="z45" w:id="42"/>
    <w:p>
      <w:pPr>
        <w:spacing w:after="0"/>
        <w:ind w:left="0"/>
        <w:jc w:val="both"/>
      </w:pPr>
      <w:r>
        <w:rPr>
          <w:rFonts w:ascii="Times New Roman"/>
          <w:b w:val="false"/>
          <w:i w:val="false"/>
          <w:color w:val="000000"/>
          <w:sz w:val="28"/>
        </w:rPr>
        <w:t>
      абзац (b) части ML10 "Ниже перечисленные "летательные аппараты", беспилотные летательные аппараты, авиационные двигатели и оборудование "летательных аппаратов", сопутствующие оборудование и компоненты, специально сконструированные или модифицированные для военного назначения:" изложить в следующей редакции:</w:t>
      </w:r>
    </w:p>
    <w:bookmarkEnd w:id="42"/>
    <w:p>
      <w:pPr>
        <w:spacing w:after="0"/>
        <w:ind w:left="0"/>
        <w:jc w:val="both"/>
      </w:pPr>
      <w:r>
        <w:rPr>
          <w:rFonts w:ascii="Times New Roman"/>
          <w:b w:val="false"/>
          <w:i w:val="false"/>
          <w:color w:val="000000"/>
          <w:sz w:val="28"/>
        </w:rPr>
        <w:t xml:space="preserve">
      "(b.) Не используется с 2011 года;"; </w:t>
      </w:r>
    </w:p>
    <w:bookmarkStart w:name="z46" w:id="43"/>
    <w:p>
      <w:pPr>
        <w:spacing w:after="0"/>
        <w:ind w:left="0"/>
        <w:jc w:val="both"/>
      </w:pPr>
      <w:r>
        <w:rPr>
          <w:rFonts w:ascii="Times New Roman"/>
          <w:b w:val="false"/>
          <w:i w:val="false"/>
          <w:color w:val="000000"/>
          <w:sz w:val="28"/>
        </w:rPr>
        <w:t>
      в части ML11 "Электронное оборудование, специально сконструированное для военного назначения, и специально сконструированные для него компоненты:":</w:t>
      </w:r>
    </w:p>
    <w:bookmarkEnd w:id="43"/>
    <w:bookmarkStart w:name="z47" w:id="44"/>
    <w:p>
      <w:pPr>
        <w:spacing w:after="0"/>
        <w:ind w:left="0"/>
        <w:jc w:val="both"/>
      </w:pPr>
      <w:r>
        <w:rPr>
          <w:rFonts w:ascii="Times New Roman"/>
          <w:b w:val="false"/>
          <w:i w:val="false"/>
          <w:color w:val="000000"/>
          <w:sz w:val="28"/>
        </w:rPr>
        <w:t>
      примечание дополнить абзацами h, i, j следующего содержания:</w:t>
      </w:r>
    </w:p>
    <w:bookmarkEnd w:id="44"/>
    <w:p>
      <w:pPr>
        <w:spacing w:after="0"/>
        <w:ind w:left="0"/>
        <w:jc w:val="both"/>
      </w:pPr>
      <w:r>
        <w:rPr>
          <w:rFonts w:ascii="Times New Roman"/>
          <w:b w:val="false"/>
          <w:i w:val="false"/>
          <w:color w:val="000000"/>
          <w:sz w:val="28"/>
        </w:rPr>
        <w:t>
      "(h.) Передающее оборудование для цифровой тропосферной радиосвязи;</w:t>
      </w:r>
    </w:p>
    <w:p>
      <w:pPr>
        <w:spacing w:after="0"/>
        <w:ind w:left="0"/>
        <w:jc w:val="both"/>
      </w:pPr>
      <w:r>
        <w:rPr>
          <w:rFonts w:ascii="Times New Roman"/>
          <w:b w:val="false"/>
          <w:i w:val="false"/>
          <w:color w:val="000000"/>
          <w:sz w:val="28"/>
        </w:rPr>
        <w:t>
      (i.) Цифровые демодуляторы, специально разработанные для радиотехнической разведки;</w:t>
      </w:r>
    </w:p>
    <w:p>
      <w:pPr>
        <w:spacing w:after="0"/>
        <w:ind w:left="0"/>
        <w:jc w:val="both"/>
      </w:pPr>
      <w:r>
        <w:rPr>
          <w:rFonts w:ascii="Times New Roman"/>
          <w:b w:val="false"/>
          <w:i w:val="false"/>
          <w:color w:val="000000"/>
          <w:sz w:val="28"/>
        </w:rPr>
        <w:t>
      (j.) "Автоматизированная система командования и контроля".".</w:t>
      </w:r>
    </w:p>
    <w:bookmarkStart w:name="z48" w:id="4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