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5568" w14:textId="b065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июня 2013 года № 602. Утратило силу постановлением Правительства Республики Казахстан от 25 апреля 2014 года № 403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25.04.2014 </w:t>
      </w:r>
      <w:r>
        <w:rPr>
          <w:rFonts w:ascii="Times New Roman"/>
          <w:b w:val="false"/>
          <w:i w:val="false"/>
          <w:color w:val="ff0000"/>
          <w:sz w:val="28"/>
        </w:rPr>
        <w:t>№ 403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(САПП Республики Казахстан, 2010 г., № 38, ст. 333)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после слова «Правила» дополнить словом «проведения»;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утвержденных вышеназванным постановлением:</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акимом области, города республиканского значения, столицы информации по результатам оценки в центральный уполномоченный орган по региональному развитию.»;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Общая методологическая координация оценки эффективности осуществляется центральным уполномоченным органом по региональному развитию.»;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правовое обеспечение государственных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По каждому направлению деятельности, указанному в пункте 15 настоящих Правил, центральными государственными органами, уполномоченными на проведение оценки эффективности, определенными пунктом 10 Системы, разрабатываются и утверждаются согласованные с центральным уполномоченным органом по региональному развитию соответствующие методики, в которых определяются критерии и показатели оценки эффективности деятельности исполнительных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Разработка и утверждение методики по оценке эффективности достижения и реализации стратегических целей и задач в курируемых отрасли/сфере/регионе и ее методологическое сопровождение осуществляются центральным уполномоченным органом по региональному развитию.»;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Оценка эффективности по данному направлению осуществляется аппаратом акима области.»;</w:t>
      </w:r>
      <w:r>
        <w:br/>
      </w:r>
      <w:r>
        <w:rPr>
          <w:rFonts w:ascii="Times New Roman"/>
          <w:b w:val="false"/>
          <w:i w:val="false"/>
          <w:color w:val="000000"/>
          <w:sz w:val="28"/>
        </w:rPr>
        <w:t>
</w:t>
      </w:r>
      <w:r>
        <w:rPr>
          <w:rFonts w:ascii="Times New Roman"/>
          <w:b w:val="false"/>
          <w:i w:val="false"/>
          <w:color w:val="000000"/>
          <w:sz w:val="28"/>
        </w:rPr>
        <w:t>
      дополнить разделом 4.7. следующего содержания:</w:t>
      </w:r>
      <w:r>
        <w:br/>
      </w:r>
      <w:r>
        <w:rPr>
          <w:rFonts w:ascii="Times New Roman"/>
          <w:b w:val="false"/>
          <w:i w:val="false"/>
          <w:color w:val="000000"/>
          <w:sz w:val="28"/>
        </w:rPr>
        <w:t>
      «4.7. Оценка эффективности правового обеспечения государственных органов</w:t>
      </w:r>
      <w:r>
        <w:br/>
      </w:r>
      <w:r>
        <w:rPr>
          <w:rFonts w:ascii="Times New Roman"/>
          <w:b w:val="false"/>
          <w:i w:val="false"/>
          <w:color w:val="000000"/>
          <w:sz w:val="28"/>
        </w:rPr>
        <w:t>
      40-1. Оценка по данному направлению осуществляется в целях определения эффективности мер по правовому обеспечению местных исполнительных органов районов (городов областного значения).</w:t>
      </w:r>
      <w:r>
        <w:br/>
      </w:r>
      <w:r>
        <w:rPr>
          <w:rFonts w:ascii="Times New Roman"/>
          <w:b w:val="false"/>
          <w:i w:val="false"/>
          <w:color w:val="000000"/>
          <w:sz w:val="28"/>
        </w:rPr>
        <w:t>
      40-2. Оценка эффективности правового обеспечения местных исполнительных органов районов (городов областного значения) осуществляется аппаратом акима области.</w:t>
      </w:r>
      <w:r>
        <w:br/>
      </w:r>
      <w:r>
        <w:rPr>
          <w:rFonts w:ascii="Times New Roman"/>
          <w:b w:val="false"/>
          <w:i w:val="false"/>
          <w:color w:val="000000"/>
          <w:sz w:val="28"/>
        </w:rPr>
        <w:t>
      40-3. Разработка и утверждение методики оценки эффективности правового обеспечения государственных органов и ее методологическое сопровождение осуществляются Министерством юстиции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Форматы заключения о результатах общей оценки эффективности деятельности исполнительных органов и экспертного заключения Региональной экспертной комиссии о результатах оценки эффективности деятельности исполнительных органов определяются центральным уполномоченным органом по региональному развитию по согласованию с Канцелярией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Аким области, города республиканского значения, столицы в срок не позднее 25 июля текущего года представляет в центральный уполномоченный орган по региональному развитию отчетную информацию о проведении оценки эффективности. Центральный уполномоченный орган по региональному развитию на основании отчетов акимов областей, города республиканского значения, столицы направляет в срок не позднее 15 августа текущего года обобщенную информацию с учетом результатов общей оценки, эффективности в части оценки местных исполнительных органов, предоставленных центральным уполномоченным органом по государственному планированию, согласно пункту 58 Системы, в Администрацию Президента Республики Казахстан и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разделом 6.1. следующего содержания:</w:t>
      </w:r>
      <w:r>
        <w:br/>
      </w:r>
      <w:r>
        <w:rPr>
          <w:rFonts w:ascii="Times New Roman"/>
          <w:b w:val="false"/>
          <w:i w:val="false"/>
          <w:color w:val="000000"/>
          <w:sz w:val="28"/>
        </w:rPr>
        <w:t>
      «6.1. Порядок проведения оценки реорганизованных и упраздненных государственных органов</w:t>
      </w:r>
      <w:r>
        <w:br/>
      </w:r>
      <w:r>
        <w:rPr>
          <w:rFonts w:ascii="Times New Roman"/>
          <w:b w:val="false"/>
          <w:i w:val="false"/>
          <w:color w:val="000000"/>
          <w:sz w:val="28"/>
        </w:rPr>
        <w:t>
      60-1.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60-2. При реорганизации или упразднении оцениваемого государственного органа во втором полугодии оцениваемого года оценка данного органа не осуществляется.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органа-правопреемника и используется в качестве рекомендаций.</w:t>
      </w:r>
      <w:r>
        <w:br/>
      </w:r>
      <w:r>
        <w:rPr>
          <w:rFonts w:ascii="Times New Roman"/>
          <w:b w:val="false"/>
          <w:i w:val="false"/>
          <w:color w:val="000000"/>
          <w:sz w:val="28"/>
        </w:rPr>
        <w:t>
      60-3.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 Результаты оценки по переданным функциям и полномочиям передаются в качестве рекомендаций в государственный орган-правопреемник.».</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