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f7f0" w14:textId="9cdf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дивидендной политики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дивидендную политику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"Фонд национального благосостояния "Самрук-Қазына"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2013 года № 543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Дивидендная политика акционерного общества "Фонд национального благосостояния "Самрук-Қазына"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Дивидендная политика - в редакции постановления Правительства РК от 19.02.2021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дивидендная политика (далее – дивидендная политика) акционерного общества "Фонд национального благосостояния "Самрук-Қазына" (далее – Фонд) разработана в соответствии с действующим законодательством Республики Казахстан, уставом Фонда и его внутренними документами.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Дивидендная политика устанавливает основы взаимоотношений Фонда с единственным акционером – Правительством Республики Казахстан (далее – единственный акционер) по вопросам выплаты дивидендов. При этом Совет директоров Фонда исходит из целей соблюдения прав и повышения доходов единственного акционера как через выплату дивидендов, так и увеличение собственного капитала Фонда.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и порядок выплаты Фондом дивидендов регламентируются законодательством Республики Казахстан и уставом Фонда.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основные принципы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дивидендной политики является обеспечение баланса интересов Фонда и единственного акционера, предсказуемости и прозрачности подхода при определении размеров дивидендов.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принципами дивидендной политики являются: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интересов единственного акционера;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долгосрочной стоимости Фонда и компаний группы Фонда;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финансовой устойчивости Фонда и компаний группы Фонда;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финансирования деятельности Фонда, включая финансирование новых видов деятельности и инвестиционных проектов, реализуемых за счет средств Фонда;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прозрачность механизма определения размера дивидендов;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сбалансированность краткосрочных (получение доходов) и долгосрочных (развитие Фонда) интересов единственного акционера;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объема финансирования Фондом проектов в соответствии с решениями единственного акционера Фонда при расчете размера дивидендов к выплате.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03.06.2025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Основы взаимоотношений Фонда с компаниями группы Фонда по вопросам выплаты дивидендов на пакеты акций или доли участия, принадлежащие Фонду, регулируются внутренним нормативным документом Фонда с учетом следующих принципов: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гарантированной выплаты Фондом дивидендов на пакет акций Фонда;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финансирования деятельности Фонда, включая финансирование новых видов деятельности и инвестиционных проектов, реализуемых за счет средств Фонда;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необходимость финансирования компаниями группы Фонда расходов на развитие, в том числе своей инвестиционной деятельности;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дифференцированный подход к определению размера дивидендов компаний группы Фонда в зависимости от степени зрелости компаний и финансово-экономического состояния компаний, определяемого на основании показателей их финансовой устойчивости и ликвидности;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качестве базы для расчета дивидендов от компаний группы Фонда использовать показатель, который учитывает денежный поток от основной деятельности, включая дивиденды от ассоциированных и совместных предприятий, после вычета инвестиционных расходов на поддержание текущей деятельности;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уменьшение размера дивидендов к выплате на сумму инвестиционных расходов компаний, одобренных инвестиционно-стратегическим комитетом Фонда и Советом директоров Фонда в рамках рассмотрения и утверждения Плана развития группы Фонда;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ограничений, установленных договорами, заключенными компаниями группы фонда (ковенанты): если сумма рассчитанных дивидендов превышает ограничения, установленные договорами, заключенными компаниями (ковенанты), то такая сумма корректируется в сторону уменьшения до допустимой к выплате.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подходы определения размера начисления дивидендов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директоров Фонда представляет единственному акционеру предложение о порядке распределения консолидированного чистого дохода Фонда и размера дивиденда в расчете на одну простую акцию Фонда.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03.06.2025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ежегодных дивидендов к начислению единственному акционеру с учетом объема финансирования Фондом проектов в соответствии с решениями единственного акционера Фонда в отчетном периоде составляет не менее 50 (пятьдесят) процентов от дивидендов, полученных за отчетный период от юридических лиц, акции (доли участия) которых принадлежат Фонду.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суммы дивидендов в пользу единственного акционера не учитываются дивиденды от юридических лиц, акции (доли участия) которых принадлежат Фонду, выплаченные Фонду в результате сделок по передаче активов группы Фонда в конкурентную среду и направленные в Национальный фонд.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03.06.2025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постановлением Правительства РК от 03.06.2025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Единственный акционер вправе принять решение о невыплате дивидендов по простым акциям Фонда.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постановлением Правительства РК от 03.06.2025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и мониторинг реализации проектов в рамках прочих распределений единственному акционеру Фонда осуществляются Советом директоров Фонда.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