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82e" w14:textId="29c4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экспорта сжиженного углеводородного газа морским путем и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экспортных поставок сжиженного углеводородного газа морским путем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Пограничной службе Комитета национальной безопасности Республики Казахстан (по согласованию), Комитету таможенного контроля Министерства финансов Республики Казахстан, Комитету государственного санитарно-эпидемиологического надзора Министерства здравоохранения Республики Казахстан в установленном законодательством Республики Казахстан порядке совместно с владельцем морского терминала морского порта Актау по отгрузке сжиженного углеводородного газа принять меры по утверждению технологической схемы пропуска судов, осуществляющих транспортировку сжиженного углеводородного газа, через Государственную границу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функционирования и закрытия пунктов пропуска через Государственную границу Республики Казахстан, утвержденными постановлением Правительства Республики Казахстан от 13 декабря 2005 года № 1240 «О некоторых вопросах функционирования пунктов пропуска через Государственную границу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 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17.09.2013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