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1231" w14:textId="a771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533.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года № 533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962 «Об утверждении Правил сертификации и выдачи сертификата летной годности гражданского воздушного судна Республики Казахстан» (САПП Республики Казахстан, 2011 г., № 52, ст. 728):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Заявка оформляется согласно приложению 1 к настоящим Правилам.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проверки технического состояния и определения годности воздушного судна к полетам согласно 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об аренде и приемо-сдаточного акта, если воздушное судно арендуется;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государственной регистрации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предварительное заключение к сертификационному обследованию в виде акта оценки о годности к эксплуатации гражданского воздушного судна согласно 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заявителя, а в случае представления документов в электронном виде копии не заверяются подписью и печатью заявителя.».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года № 533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летной годности гражданского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25.04.2014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