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1c95" w14:textId="a501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февраля 2011 года № 129 "О Стратегическом плане Министерства транспорта и коммуникаций Республики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2013 года № 510. Утратило силу постановлением Правительства Республики Казахстан от 31 декабря 2013 года № 1561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2011 года № 129 «О Стратегическом плане Министерства транспорта и коммуникаций Республики Казахстан на 2011 – 2015 годы» (САПП Республики Казахстан, 2011 г., № 20, ст. 240)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 и тенденции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«Развитие транспортной инфраструктуры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«1</w:t>
      </w:r>
      <w:r>
        <w:rPr>
          <w:rFonts w:ascii="Times New Roman"/>
          <w:b w:val="false"/>
          <w:i w:val="false"/>
          <w:color w:val="000000"/>
          <w:sz w:val="28"/>
        </w:rPr>
        <w:t>. Основные параметры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</w:t>
      </w:r>
      <w:r>
        <w:rPr>
          <w:rFonts w:ascii="Times New Roman"/>
          <w:b w:val="false"/>
          <w:i w:val="false"/>
          <w:color w:val="000000"/>
          <w:sz w:val="28"/>
        </w:rPr>
        <w:t>Водный транспорт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 предложение «Протяженность внутренних судоходных путей на конец 2011 года составляла 4094 км.»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«Развитие транзитно-транспортного потенциала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«1</w:t>
      </w:r>
      <w:r>
        <w:rPr>
          <w:rFonts w:ascii="Times New Roman"/>
          <w:b w:val="false"/>
          <w:i w:val="false"/>
          <w:color w:val="000000"/>
          <w:sz w:val="28"/>
        </w:rPr>
        <w:t>. Основные параметры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настоящее время объем товарооборота между Европой и Азией составляет порядка 700 млрд. долл. США, по некоторым прогнозам к 2015 году данный показатель достигнет 1 трлн. долл. США, доход от транзита по Казахстану прогнозируется около 1,5 млрд. долл. США к 2015 году (в 2007 году – 500 млн. долл. США). В целом транзитные потоки в направлениях Юго-Восточная и Восточная Азия – Европа оцениваются примерно в 330-400 млрд. долл. США, при этом до 20 % этих потоков могут проходить через территорию Казахстана.»;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шестнадцатой предложения «Объем внешней торговли между Европейским Союзом и Китайской Народной Республикой в 2010 году составил более 526 млрд. долл. США. Ожидается, что до 2020 года этот показатель возрастет до уровня в 781 млрд. долл. США.»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4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процессов предоставления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«1</w:t>
      </w:r>
      <w:r>
        <w:rPr>
          <w:rFonts w:ascii="Times New Roman"/>
          <w:b w:val="false"/>
          <w:i w:val="false"/>
          <w:color w:val="000000"/>
          <w:sz w:val="28"/>
        </w:rPr>
        <w:t>. Основные параметры развития»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«Сегодня информационные технологии являются важнейшим инструментом для формирования информационного общества, а «проводником» в отношениях государства и населения стало «электронное правительство».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применение ИТ в государственных органах должно быть в первую очередь направлено на оказание государственных услуг в электронной форме населению и бизнесу, повышение прозрачности и подотчетности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состояние предоставления государственных электронных услуг населению и организациям характеризуется следующими данными: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электронные госзакупки, интерактивные опросы и т.д.) и осуществляется переход к оказанию транзакционных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создана инфраструктура «электронного правительства», в рамках которой введены в промышленную эксплуатацию более 20 ИT –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разработаны и утверждены планы мероприятий по оптимизации и автоматизации социально-значимых государственных услуг, 92 лицензий и 80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ведутся работы по созданию архитектуры «электронного правительства» и разработке эталонных моделей. В настоящее время произведено наполнение эталонных моделей по 15 направлениям деятельности (образование, здравоохранение, транспорт и коммуникации, связь и почтовые услуги, международные отношения, культура, охрана окружающей среды, жилищно-коммунальное хозяйство, природные ресурсы, гражданство, миграция и иммиграция, юстиции, сельское хозяйство, промышленность, социальное обеспечение населения, трудоустройство и занятость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проведена работа по внедрению информационной системы «Е-лицензирование» (далее – ГБД «Е-лицензирование»). В 2012 году данная система внедрена во всех государственных органах-лицензиарах. Количество сформированных электронных лицензий посредством ГБД «Е-лицензирование» по итогам 2012 года составило 19 740 электронных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Уже сегодня в результате проведения заинтересованными государственными органами совместных работ, всецело направленных на формирование «электронного правительства» для «информационного общества», инфраструктурой «электронного правительства» в электронном виде предоставляются более 317 интерактивных и транзакционных услуг, среди которых более 156 электронных услуг, 81 электронная лицензия и  80 разрешительных документов (согласно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органов»). В число услуг портала «электронного правительства» входят более 90 электронных услуг, 21 дополнительных сервисов, оплата 20 видов государственных сборов, 17 видов госпошлин, 4 видов налоговых платежей, а также оплата штрафов за нарушения Правил дорожного движения и 3 видов коммунальных услуг. Кроме того, доступны услуги информационного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2012 год в городах и районах Казахстана проведены обучающие семинары по теме «электронное правительство» и «электронные услуги». Обучено 64 475 чел. В торговых центрах гг. Астаны, Алматы, Актобе, Шымкента проведены консультационные поддержки населения, в среднем проконсультировано 19 276 чел.;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ведется работа по переводу центральных государственных органов на электронный документооборот без дублирования документов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создана система электронных обращений граждан через веб-портал «электронного правительства» к руководителям государственных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рамках развития электронных акиматов реализован проект «Региональный шлюз «электронного правительства» с возможностью автоматизации государственных услуг, оказываемых акиматами, из которых 4 услуги предоставляются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проведена большая работа по улучшению деятельности центров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нормативная база, необходимая для функционирования ЦОН, упрощены процедуры по обслуживанию населения и бизнеса, существует положительная тенденция по снижению уровня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ЦОН оказываются 113 государственных услуг. На сегодняшний день исключены 19 видов документов при предоставлении в ЦОН: из наиболее часто запрашиваемых, например как, копия удостоверения личности гражданина, копия свидетельства о рождении, копия свидетельства о заключении брака, копия свидетельства о расторжении брака, справка по форме № 4 в случае рождения ребенка вне брака, копия правоустанавливающего документа на недвижимое имущество, справка об инвалидности, копия удостоверения пенсионера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проводятся мероприятия по повышению уровня квалификации кадрового состава работников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уровня квалификации работников ЦОН проведена аттестация работников ЦОН. Всего 8 700 работников, из них аттестовано 5 019, прошло аттестацию 3 919 работников или 78 %, не прошли 1 100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мониторинга деятельности ЦОН в части качества предоставляемых государственных услуг и обеспечения обратной связи с населением создан и успешно работает ситуационный центр (далее – центр). Посредством камер, установленных в 161 ЦОН, центром в режиме on-line проводится видео-мониторинг деятельности, что в свою очередь позволяет оперативно реагировать на недостатки в процессе работы, отслеживать коррупционные проявления. Кроме того, функционирование центра позволяет проводить прием граждан руководителями центральных и местных государственных органов, видеоконференции и совещания с подведомственными учреждениями, осуществлять дистанционное обучение работников ЦОН всех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ситуационному центру, время ожидания более 20 минут по вине ЦОН сократилось на 92 %, время оформления более 20 минут по вине ЦОН сократилось на 17 %, оценка «плохо» сократилась на 44 %.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день, модернизированы 252 ЦОН. Во всех ЦОН по стране, уже внедрен безбарьерный принцип обслуживания граждан. При модернизации ЦОН реализуются новые бизнес-процессы, мониторинг и оценка качества оказания государственных услуг, создаются благоприятные условия для граждан. Открыты уголки электронного правительства, где граждане могут ознакомиться с услугами портала egov.kz и получить электронную цифровую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удобства граждан оборудованы детские площадки, также предусмотрено внедрение единой электронной очереди, которая позволяет вести контроль за предоставлением госуслуги, отслеживать время ожидания граждан в очереди. Качество обслуживания оценивается гражданами посредством сенсорных дублирующих мониторов, где каждый гражданин может на месте дать оценку работе работников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проводятся проверки с использованием «Мystery shopping» - метода исследования, проводимого с целью решения организационных задач, например, измерения уровня соблюдения стандартов обслуживания клиентов сотрудниками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исследований уровень удовлетворенности населения услугами ЦОН составил: в 2010 году – 65 %; в 2011 году – 76 %; в 2012 году – 81,6 %.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«Социально-экономическая модернизация – главный вектор развития Казахстана» от 27 января 2012 года Министерством разработан План мероприятий (дорожная карта), в котором предусмотрены меры по открытию в 2012 году специализированных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открыты специализированные ЦОНы в гг. Караганды и Алматы. В 2013 году планируется открытие специализированного ЦОН в г.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специализированных ЦОН по принципу «одного окна» представляются государственные услуги по регистрации автотранспортных средств и выдаче водительских удостоверений с созданием необходимой инфраструктуры и условий для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же ЦОН население сможет сдать теоретические и практические экзамены для получения водительских удостоверений, пройти сверку номерных агрегатов, получить водительское удостоверение, свидетельства о прохождении обязательного технического осмотра и государственных регистрационных номерных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автоматизации государственных услуг сокращен перечень представляемых населением документов, необходимые сведения будут получаться в электронном формате из баз данных задействованных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реализации государственной политики в области информатизации Министерством регулируются вопросы противодействия компьютерным инцидентам на государственном уровне, в частности за счет участия в техническом сопровождении национальных электронных информационных ресурсов и информационных систем, интегрируемых в информационную инфраструктуру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казахстанского сегмента Интернет будут способствовать внедрение ШПД, создание дата-центров, увеличение электронных услуг, предоставляемых через портал «электронного правительства», развитие порталов государственных органов, создание социально значимых интернет–ресурсов (для детей и подростков).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необходимо активизировать развитие вычислительных центров (далее – дата-центры) с целью обеспечения спроса на услуги веб-хостинга, первичного и резервного хранения данных и поэтапного выхода на внешние рынки. Наличие инфраструктуры дата-центров является базовым условием для развития «Казнета», электронной коммерции, электронных услуг и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взаимодействия межгосударственных и межведомственных информационных систем при обмене данных возникает необходимость создания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и взаимной торговли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позволит достичь таких положительных результатов, как развитие экономической интеграции на таможенной территории Таможенного союза и улучшение экономических показателей внешней и взаимной торговли в результате использования интегрированных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создание национального сегмента интегрированной информационной системы внешней и взаимной торговли Таможенного союза, а также национальной доверенной третьей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 деятельности, цели, целевые индикаторы, задачи, мероприятия,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«Развитие транспортной инфраструктуры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«Достижение опережающих темпов развития транспортно-коммуникационного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«2012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перевозка грузов» цифры «2 943,1» заменить цифрами «3 014,3»;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перевозка пассажиров» цифры «18 640,0» заменить цифрами «18 483,8»;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грузооборот» цифры «383,8» заменить цифрами «368,1»;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пассажирооборот» цифры «211,1» заменить цифрами «211,3»;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«9. ИФО транспортных услуг, % к предыдущему году» цифры «107,5» заменить цифрами «107,2»;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«Повышение уровня развития инфраструктуры железнодорожной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строки «1. Строительство новых железных дорог» значение «-» заменить цифрами «214»;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год», «2015 год» строки «5. Количество субсидируемых социально-значимых маршрутов» цифры «64», «64», «64» заменить соответственно цифрами «66», «66», «66»;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7"/>
        <w:gridCol w:w="878"/>
        <w:gridCol w:w="878"/>
        <w:gridCol w:w="878"/>
        <w:gridCol w:w="878"/>
        <w:gridCol w:w="921"/>
      </w:tblGrid>
      <w:tr>
        <w:trPr>
          <w:trHeight w:val="42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Коргас – Жетыген к 2014 году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7"/>
        <w:gridCol w:w="878"/>
        <w:gridCol w:w="878"/>
        <w:gridCol w:w="878"/>
        <w:gridCol w:w="878"/>
        <w:gridCol w:w="921"/>
      </w:tblGrid>
      <w:tr>
        <w:trPr>
          <w:trHeight w:val="555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Коргас – Жетыген к 2013 году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1.1.3. «Повышение уровня развития инфраструктуры гражданской авиации»: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Реконструкции (строительство) взлетно-посадочных полос, пассажирских и грузовых терминалов в 13 аэропортах республики» в графе «2015 год» значение «-» заменить значением «х»;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1.1.4. «Повышение уровня развития инфраструктуры водного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0"/>
        <w:gridCol w:w="878"/>
        <w:gridCol w:w="878"/>
        <w:gridCol w:w="878"/>
        <w:gridCol w:w="879"/>
        <w:gridCol w:w="837"/>
      </w:tblGrid>
      <w:tr>
        <w:trPr>
          <w:trHeight w:val="285" w:hRule="atLeast"/>
        </w:trPr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Пополнение торгового флота сухогрузными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судами, паромами и танкерами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0"/>
        <w:gridCol w:w="878"/>
        <w:gridCol w:w="878"/>
        <w:gridCol w:w="878"/>
        <w:gridCol w:w="879"/>
        <w:gridCol w:w="837"/>
      </w:tblGrid>
      <w:tr>
        <w:trPr>
          <w:trHeight w:val="270" w:hRule="atLeast"/>
        </w:trPr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Пополнение торгового флота паромами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6"/>
        <w:gridCol w:w="878"/>
        <w:gridCol w:w="879"/>
        <w:gridCol w:w="879"/>
        <w:gridCol w:w="879"/>
        <w:gridCol w:w="879"/>
      </w:tblGrid>
      <w:tr>
        <w:trPr>
          <w:trHeight w:val="120" w:hRule="atLeast"/>
        </w:trPr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Расширение порта Актау в северном направлении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«1.1.5. Повышение уровня развития инфраструктуры автотранспортной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5"/>
        <w:gridCol w:w="1739"/>
        <w:gridCol w:w="909"/>
        <w:gridCol w:w="494"/>
        <w:gridCol w:w="495"/>
        <w:gridCol w:w="495"/>
        <w:gridCol w:w="495"/>
        <w:gridCol w:w="713"/>
        <w:gridCol w:w="714"/>
        <w:gridCol w:w="911"/>
      </w:tblGrid>
      <w:tr>
        <w:trPr>
          <w:trHeight w:val="5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Снижение времени реагирования экстренных оперативных служб на дорожно-транспортные происшествия на автомобильных дорогах с участием автотранспортных средств, оснащенных устройствами вызова экстренных оперативных служб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«Мероприятия для достижения показателей прямых результатов»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3"/>
        <w:gridCol w:w="877"/>
        <w:gridCol w:w="877"/>
        <w:gridCol w:w="877"/>
        <w:gridCol w:w="878"/>
        <w:gridCol w:w="878"/>
      </w:tblGrid>
      <w:tr>
        <w:trPr>
          <w:trHeight w:val="405" w:hRule="atLeast"/>
        </w:trPr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нормативной правовой базы для создания системы экстренного вызова при авариях и катастрофах (ЭВАК)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05" w:hRule="atLeast"/>
        </w:trPr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Разработка проекта технико-экономического обоснования по созданию системы ЭВАК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Поэтапное оснащение автотранспортных средств устройствами вызова экстренных оперативных служб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колесных транспортных средств» (ТР ТС 018/2011)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05" w:hRule="atLeast"/>
        </w:trPr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 целях обеспечения оперативного реагирования экстренных оперативных служб на дорожно-транспортные происшествия, разработка проекта Регламента взаимодействия между оператором системы ЭВАК и МЧС РК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«Развитие транзитно-транспортного потенциала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>. «Увеличение объемов транзитных перевозок через территорию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 год», «2013 год», «2014 год», «2015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Увеличение объемов перевозок грузов в транзитном направлении» цифры «17,0», «18,4», «19,4», «20,3» заменить соответственно цифрами «17,8», «19,0», «20,5», «22,0»;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ж/д транспорт» цифры «14,7», «15,4», «16,3», «17,3» заменить соответственно цифрами «16,2», «17,2», «18,4», «19,5»;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автотранспорт» цифры «0,91», «0,98», «1,05», «1,12» заменить соответственно цифрами «1,46», «1,6», «1,8», «2,0»;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 год», «2015 год» строки «- водный транспорт» цифры «0,2», «0,3» заменить соответственно цифрами «16,2», «0,5»;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6"/>
        <w:gridCol w:w="1311"/>
        <w:gridCol w:w="1117"/>
        <w:gridCol w:w="765"/>
        <w:gridCol w:w="765"/>
        <w:gridCol w:w="901"/>
        <w:gridCol w:w="901"/>
        <w:gridCol w:w="901"/>
        <w:gridCol w:w="901"/>
        <w:gridCol w:w="902"/>
      </w:tblGrid>
      <w:tr>
        <w:trPr>
          <w:trHeight w:val="40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авиатранспорт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сам/км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6"/>
        <w:gridCol w:w="1311"/>
        <w:gridCol w:w="1117"/>
        <w:gridCol w:w="765"/>
        <w:gridCol w:w="765"/>
        <w:gridCol w:w="901"/>
        <w:gridCol w:w="901"/>
        <w:gridCol w:w="901"/>
        <w:gridCol w:w="901"/>
        <w:gridCol w:w="902"/>
      </w:tblGrid>
      <w:tr>
        <w:trPr>
          <w:trHeight w:val="40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Транзитные авиаперелеты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сам/км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9"/>
        <w:gridCol w:w="1321"/>
        <w:gridCol w:w="1125"/>
        <w:gridCol w:w="711"/>
        <w:gridCol w:w="711"/>
        <w:gridCol w:w="907"/>
        <w:gridCol w:w="908"/>
        <w:gridCol w:w="711"/>
        <w:gridCol w:w="908"/>
        <w:gridCol w:w="909"/>
      </w:tblGrid>
      <w:tr>
        <w:trPr>
          <w:trHeight w:val="405" w:hRule="atLeast"/>
        </w:trPr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Увеличение дохода от транзитных перевозок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6"/>
        <w:gridCol w:w="1313"/>
        <w:gridCol w:w="1119"/>
        <w:gridCol w:w="707"/>
        <w:gridCol w:w="707"/>
        <w:gridCol w:w="902"/>
        <w:gridCol w:w="902"/>
        <w:gridCol w:w="767"/>
        <w:gridCol w:w="903"/>
        <w:gridCol w:w="904"/>
      </w:tblGrid>
      <w:tr>
        <w:trPr>
          <w:trHeight w:val="405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дохода от транзитных перевозок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«Повышение уровня интеграции транспортного комплекса Республики Казахстан в международные транспортные сети»: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7"/>
        <w:gridCol w:w="879"/>
        <w:gridCol w:w="880"/>
        <w:gridCol w:w="880"/>
        <w:gridCol w:w="880"/>
        <w:gridCol w:w="1324"/>
      </w:tblGrid>
      <w:tr>
        <w:trPr>
          <w:trHeight w:val="405" w:hRule="atLeast"/>
        </w:trPr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транспортно-логистических объектов в Казахстане и за пределами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>. «Развитие услуг, производства и инфраструктуры ИКТ, базирующейся на современных технологиях, ориентированной на предоставление мультимедийных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достижения роста доли сектора ИКТ в ВВП, включая развитие инфокоммуникационной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«Уровень доступности базовых услуг в сфере ИКТ и обеспечение 100-процентного охвата домохозяйств Республики Казахстан услугами телефонной связи, широкополосного доступа к Интернету»: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7"/>
        <w:gridCol w:w="1537"/>
        <w:gridCol w:w="1320"/>
        <w:gridCol w:w="906"/>
        <w:gridCol w:w="711"/>
        <w:gridCol w:w="906"/>
        <w:gridCol w:w="907"/>
        <w:gridCol w:w="711"/>
        <w:gridCol w:w="907"/>
        <w:gridCol w:w="908"/>
      </w:tblGrid>
      <w:tr>
        <w:trPr>
          <w:trHeight w:val="405" w:hRule="atLeast"/>
        </w:trPr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транзита международных информационных потоков через Республику Казахстан (Европа/Россия-Азия)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год», «2015 год» строки «5. Ребалансирование тарифов на универсальные услуги телекоммуникаций»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3.1.2. «Обеспечение услугами мобильной связи всех населенных пунктов с численностью от 1000 человек и более»: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«3. Охват населенных пунктов с численностью от 1000 человек и более услугами сотовой связи» цифры «84» заменить цифрами «94»;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3.1.7. «Обеспечение условий развития конкуренции на соответствующих рынках услуг телекоммуникаций и почтовой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строки «1. Количество проведенных анализов сфер естественных монополий в области телекоммуникаций на предмет выведения их в конкурентную среду» цифру «1»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«5. Проведение анализа сферы естественной монополии в области телекоммуникаций на предмет отнесения услуг к регулируемым»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«6. Внесение изменений в перечень регулируемых услуг (товаров, работ) субъектов естественных монополий»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4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процессов предоставления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4.1</w:t>
      </w:r>
      <w:r>
        <w:rPr>
          <w:rFonts w:ascii="Times New Roman"/>
          <w:b w:val="false"/>
          <w:i w:val="false"/>
          <w:color w:val="000000"/>
          <w:sz w:val="28"/>
        </w:rPr>
        <w:t>. «Повышение качества оказания государственных услуг в электронном формате и уровня функционирования центров обслуживания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4.1.1. «Обеспечение безопасного доступа граждан и организаций к государственным электронным услугам посредством цифровых сертификатов»: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год», «2015 год» строки «6. Адаптация ИС «е-услуги акимата» и интеграция с существующими информационными системами местных исполнительных органов» значение «-» заменить значением «х»;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4"/>
        <w:gridCol w:w="685"/>
        <w:gridCol w:w="685"/>
        <w:gridCol w:w="685"/>
        <w:gridCol w:w="685"/>
        <w:gridCol w:w="686"/>
      </w:tblGrid>
      <w:tr>
        <w:trPr>
          <w:trHeight w:val="90" w:hRule="atLeast"/>
        </w:trPr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Формирование перечня функции (процессов) государственных органов, подлежащих автоматизации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4"/>
        <w:gridCol w:w="685"/>
        <w:gridCol w:w="685"/>
        <w:gridCol w:w="685"/>
        <w:gridCol w:w="685"/>
        <w:gridCol w:w="686"/>
      </w:tblGrid>
      <w:tr>
        <w:trPr>
          <w:trHeight w:val="90" w:hRule="atLeast"/>
        </w:trPr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Согласование перечня функций (процессов) государственных органов, подлежащих автоматизации (в случае поступления запроса от ГО в МТК)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3.2</w:t>
      </w:r>
      <w:r>
        <w:rPr>
          <w:rFonts w:ascii="Times New Roman"/>
          <w:b w:val="false"/>
          <w:i w:val="false"/>
          <w:color w:val="000000"/>
          <w:sz w:val="28"/>
        </w:rPr>
        <w:t xml:space="preserve">. изложить в следующей редакции: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«3.2. Соответствие стратегических направлений и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государственного органа стратегическим целям государства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3"/>
        <w:gridCol w:w="10257"/>
      </w:tblGrid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 государственного органа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программного документа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Достижение опережающих темпов развития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  № 922 «О Стратегическом плане развития Республики Казахстан до 2020 года».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30 января 2012 года № 261 «О мерах по реализации Послания Главы государства народу Казахстана от 27 января 2012 года «Социально-экономическая модернизация – главный вектор развития Казахстана».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Развитие транзитно-транспортного потенциала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Увеличение объемов транзитных перевозок через территорию Республики Казахстан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  № 922 «О Стратегическом плане развития Республики Казахстан до 2020 года».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Развитие услуг, производства и инфраструктуры ИКТ,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базирующейся на современных технологиях, ориентированных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 услуг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 достижения роста доли сектора ИКТ в ВВП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30 января 2012 года № 261 «О мерах по реализации Послания главы государства народу Казахстана от 27 января 2012 года «Социально-экономическая модернизация – главный вектор развития Казахстана».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Совершенствование процессов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технического сопровождения и интеграции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органов,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создание условий и механизмов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информационной инфраструктуры Таможенного союза</w:t>
            </w:r>
          </w:p>
        </w:tc>
      </w:tr>
      <w:tr>
        <w:trPr>
          <w:trHeight w:val="1725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4.1. Повышение качества оказания государственных услуг в электронном формате и уровня функционирования центров обслуживания населения 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  № 922 «О Стратегическом плане развития Республики Казахстан до 2020 года».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30 января 2012 года № 261 «О мерах по реализации Послания Главы государства народу Казахстана от 27 января 2012 года «Социально-экономическая модернизация – главный вектор развития Казахстана».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государства».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«Развитие транспортной инфраструктуры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«Мероприятия по реализации стратегического направления и цели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«1.1. Достижение опережающих темпов развития транспортно-коммуникационного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Разработка государственной программы по развитию транспортной инфраструктуры Республики Казахстан до 2020 года» с периодом реализации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«Развитие транзитно-транспортного потенциала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«2.1. Увеличение объемов транзитных перевозок через территорию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«Мероприятия по реализации стратегического направления и цели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Разработка государственной программы по развитию транспортной инфраструктуры Республики Казахстан до 2020 года» с периодом реализации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