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1c95" w14:textId="a501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февраля 2011 года № 129 "О Стратегическом плане Министерства транспорта и коммуникаций Республики Казахстан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2013 года № 510. Утратило силу постановлением Правительства Республики Казахстан от 31 декабря 2013 года № 1561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2011 года № 129 «О Стратегическом плане Министерства транспорта и коммуникаций Республики Казахстан на 2011 – 2015 годы» (САПП Республики Казахстан, 2011 г., № 20, ст. 240)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«Анализ текущей ситуации и тенденции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«Развитие транспортной инфраструктуры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«1</w:t>
      </w:r>
      <w:r>
        <w:rPr>
          <w:rFonts w:ascii="Times New Roman"/>
          <w:b w:val="false"/>
          <w:i w:val="false"/>
          <w:color w:val="000000"/>
          <w:sz w:val="28"/>
        </w:rPr>
        <w:t>. Основные параметры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</w:t>
      </w:r>
      <w:r>
        <w:rPr>
          <w:rFonts w:ascii="Times New Roman"/>
          <w:b w:val="false"/>
          <w:i w:val="false"/>
          <w:color w:val="000000"/>
          <w:sz w:val="28"/>
        </w:rPr>
        <w:t>Водный транспорт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восьмой предложение «Протяженность внутренних судоходных путей на конец 2011 года составляла 4094 км.»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>. «Развитие транзитно-транспортного потенциала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«1</w:t>
      </w:r>
      <w:r>
        <w:rPr>
          <w:rFonts w:ascii="Times New Roman"/>
          <w:b w:val="false"/>
          <w:i w:val="false"/>
          <w:color w:val="000000"/>
          <w:sz w:val="28"/>
        </w:rPr>
        <w:t>. Основные параметры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настоящее время объем товарооборота между Европой и Азией составляет порядка 700 млрд. долл. США, по некоторым прогнозам к 2015 году данный показатель достигнет 1 трлн. долл. США, доход от транзита по Казахстану прогнозируется около 1,5 млрд. долл. США к 2015 году (в 2007 году – 500 млн. долл. США). В целом транзитные потоки в направлениях Юго-Восточная и Восточная Азия – Европа оцениваются примерно в 330-400 млрд. долл. США, при этом до 20 % этих потоков могут проходить через территорию Казахстана.»;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шестнадцатой предложения «Объем внешней торговли между Европейским Союзом и Китайской Народной Республикой в 2010 году составил более 526 млрд. долл. США. Ожидается, что до 2020 года этот показатель возрастет до уровня в 781 млрд. долл. США.»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4</w:t>
      </w:r>
      <w:r>
        <w:rPr>
          <w:rFonts w:ascii="Times New Roman"/>
          <w:b w:val="false"/>
          <w:i w:val="false"/>
          <w:color w:val="000000"/>
          <w:sz w:val="28"/>
        </w:rPr>
        <w:t>. «Совершенствование процессов предоставления государственных услуг, технического сопровождения и интеграция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«1</w:t>
      </w:r>
      <w:r>
        <w:rPr>
          <w:rFonts w:ascii="Times New Roman"/>
          <w:b w:val="false"/>
          <w:i w:val="false"/>
          <w:color w:val="000000"/>
          <w:sz w:val="28"/>
        </w:rPr>
        <w:t>. Основные параметры развития»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«Сегодня информационные технологии являются важнейшим инструментом для формирования информационного общества, а «проводником» в отношениях государства и населения стало «электронное правительство».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применение ИТ в государственных органах должно быть в первую очередь направлено на оказание государственных услуг в электронной форме населению и бизнесу, повышение прозрачности и подотчетности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состояние предоставления государственных электронных услуг населению и организациям характеризуется следующими данными: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центральными и местными исполнительными органами посредством интернет-ресурсов оказываются интерактивные услуги населению и бизнесу (блоги руководителей, электронные госзакупки, интерактивные опросы и т.д.) и осуществляется переход к оказанию транзакционных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создана инфраструктура «электронного правительства», в рамках которой введены в промышленную эксплуатацию более 20 ИT –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разработаны и утверждены планы мероприятий по оптимизации и автоматизации социально-значимых государственных услуг, 92 лицензий и 80 разрешительных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ведутся работы по созданию архитектуры «электронного правительства» и разработке эталонных моделей. В настоящее время произведено наполнение эталонных моделей по 15 направлениям деятельности (образование, здравоохранение, транспорт и коммуникации, связь и почтовые услуги, международные отношения, культура, охрана окружающей среды, жилищно-коммунальное хозяйство, природные ресурсы, гражданство, миграция и иммиграция, юстиции, сельское хозяйство, промышленность, социальное обеспечение населения, трудоустройство и занятость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проведена работа по внедрению информационной системы «Е-лицензирование» (далее – ГБД «Е-лицензирование»). В 2012 году данная система внедрена во всех государственных органах-лицензиарах. Количество сформированных электронных лицензий посредством ГБД «Е-лицензирование» по итогам 2012 года составило 19 740 электронных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Уже сегодня в результате проведения заинтересованными государственными органами совместных работ, всецело направленных на формирование «электронного правительства» для «информационного общества», инфраструктурой «электронного правительства» в электронном виде предоставляются более 317 интерактивных и транзакционных услуг, среди которых более 156 электронных услуг, 81 электронная лицензия и  80 разрешительных документов (согласно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органов»). В число услуг портала «электронного правительства» входят более 90 электронных услуг, 21 дополнительных сервисов, оплата 20 видов государственных сборов, 17 видов госпошлин, 4 видов налоговых платежей, а также оплата штрафов за нарушения Правил дорожного движения и 3 видов коммунальных услуг. Кроме того, доступны услуги информационного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2012 год в городах и районах Казахстана проведены обучающие семинары по теме «электронное правительство» и «электронные услуги». Обучено 64 475 чел. В торговых центрах гг. Астаны, Алматы, Актобе, Шымкента проведены консультационные поддержки населения, в среднем проконсультировано 19 276 чел.;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ведется работа по переводу центральных государственных органов на электронный документооборот без дублирования документов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создана система электронных обращений граждан через веб-портал «электронного правительства» к руководителям государственных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рамках развития электронных акиматов реализован проект «Региональный шлюз «электронного правительства» с возможностью автоматизации государственных услуг, оказываемых акиматами, из которых 4 услуги предоставляются на портале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проведена большая работа по улучшению деятельности центров обслуживания населения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Сформирована нормативная база, необходимая для функционирования ЦОН, упрощены процедуры по обслуживанию населения и бизнеса, существует положительная тенденция по снижению уровня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ЦОН оказываются 113 государственных услуг. На сегодняшний день исключены 19 видов документов при предоставлении в ЦОН: из наиболее часто запрашиваемых, например как, копия удостоверения личности гражданина, копия свидетельства о рождении, копия свидетельства о заключении брака, копия свидетельства о расторжении брака, справка по форме № 4 в случае рождения ребенка вне брака, копия правоустанавливающего документа на недвижимое имущество, справка об инвалидности, копия удостоверения пенсионера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проводятся мероприятия по повышению уровня квалификации кадрового состава работников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уровня квалификации работников ЦОН проведена аттестация работников ЦОН. Всего 8 700 работников, из них аттестовано 5 019, прошло аттестацию 3 919 работников или 78 %, не прошли 1 100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мониторинга деятельности ЦОН в части качества предоставляемых государственных услуг и обеспечения обратной связи с населением создан и успешно работает ситуационный центр (далее – центр). Посредством камер, установленных в 161 ЦОН, центром в режиме on-line проводится видео-мониторинг деятельности, что в свою очередь позволяет оперативно реагировать на недостатки в процессе работы, отслеживать коррупционные проявления. Кроме того, функционирование центра позволяет проводить прием граждан руководителями центральных и местных государственных органов, видеоконференции и совещания с подведомственными учреждениями, осуществлять дистанционное обучение работников ЦОН всех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Благодаря ситуационному центру, время ожидания более 20 минут по вине ЦОН сократилось на 92 %, время оформления более 20 минут по вине ЦОН сократилось на 17 %, оценка «плохо» сократилась на 44 %.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день, модернизированы 252 ЦОН. Во всех ЦОН по стране, уже внедрен безбарьерный принцип обслуживания граждан. При модернизации ЦОН реализуются новые бизнес-процессы, мониторинг и оценка качества оказания государственных услуг, создаются благоприятные условия для граждан. Открыты уголки электронного правительства, где граждане могут ознакомиться с услугами портала egov.kz и получить электронную цифровую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удобства граждан оборудованы детские площадки, также предусмотрено внедрение единой электронной очереди, которая позволяет вести контроль за предоставлением госуслуги, отслеживать время ожидания граждан в очереди. Качество обслуживания оценивается гражданами посредством сенсорных дублирующих мониторов, где каждый гражданин может на месте дать оценку работе работников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регулярной основе проводятся проверки с использованием «Мystery shopping» - метода исследования, проводимого с целью решения организационных задач, например, измерения уровня соблюдения стандартов обслуживания клиентов сотрудниками 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проведенных исследований уровень удовлетворенности населения услугами ЦОН составил: в 2010 году – 65 %; в 2011 году – 76 %; в 2012 году – 81,6 %.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«Социально-экономическая модернизация – главный вектор развития Казахстана» от 27 января 2012 года Министерством разработан План мероприятий (дорожная карта), в котором предусмотрены меры по открытию в 2012 году специализированных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открыты специализированные ЦОНы в гг. Караганды и Алматы. В 2013 году планируется открытие специализированного ЦОН в г.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данных специализированных ЦОН по принципу «одного окна» представляются государственные услуги по регистрации автотранспортных средств и выдаче водительских удостоверений с созданием необходимой инфраструктуры и условий для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же ЦОН население сможет сдать теоретические и практические экзамены для получения водительских удостоверений, пройти сверку номерных агрегатов, получить водительское удостоверение, свидетельства о прохождении обязательного технического осмотра и государственных регистрационных номерных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автоматизации государственных услуг сокращен перечень представляемых населением документов, необходимые сведения будут получаться в электронном формате из баз данных задействованных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рамках реализации государственной политики в области информатизации Министерством регулируются вопросы противодействия компьютерным инцидентам на государственном уровне, в частности за счет участия в техническом сопровождении национальных электронных информационных ресурсов и информационных систем, интегрируемых в информационную инфраструктуру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казахстанского сегмента Интернет будут способствовать внедрение ШПД, создание дата-центров, увеличение электронных услуг, предоставляемых через портал «электронного правительства», развитие порталов государственных органов, создание социально значимых интернет–ресурсов (для детей и подростков).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необходимо активизировать развитие вычислительных центров (далее – дата-центры) с целью обеспечения спроса на услуги веб-хостинга, первичного и резервного хранения данных и поэтапного выхода на внешние рынки. Наличие инфраструктуры дата-центров является базовым условием для развития «Казнета», электронной коммерции, электронных услуг и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взаимодействия межгосударственных и межведомственных информационных систем при обмене данных возникает необходимость создания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и взаимной торговли Таможенного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позволит достичь таких положительных результатов, как развитие экономической интеграции на таможенной территории Таможенного союза и улучшение экономических показателей внешней и взаимной торговли в результате использования интегрированных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 создание национального сегмента интегрированной информационной системы внешней и взаимной торговли Таможенного союза, а также национальной доверенной третьей стороны.»;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 деятельности, цели, целевые индикаторы, задачи, мероприятия,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«Развитие транспортной инфраструктуры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«Достижение опережающих темпов развития транспортно-коммуникационного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«2012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перевозка грузов» цифры «2 943,1» заменить цифрами «3 014,3»;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перевозка пассажиров» цифры «18 640,0» заменить цифрами «18 483,8»;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грузооборот» цифры «383,8» заменить цифрами «368,1»;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пассажирооборот» цифры «211,1» заменить цифрами «211,3»;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«9. ИФО транспортных услуг, % к предыдущему году» цифры «107,5» заменить цифрами «107,2»;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«Повышение уровня развития инфраструктуры железнодорожной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 строки «1. Строительство новых железных дорог» значение «-» заменить цифрами «214»;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год», «2014 год», «2015 год» строки «5. Количество субсидируемых социально-значимых маршрутов» цифры «64», «64», «64» заменить соответственно цифрами «66», «66», «66»;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7"/>
        <w:gridCol w:w="878"/>
        <w:gridCol w:w="878"/>
        <w:gridCol w:w="878"/>
        <w:gridCol w:w="878"/>
        <w:gridCol w:w="921"/>
      </w:tblGrid>
      <w:tr>
        <w:trPr>
          <w:trHeight w:val="42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железнодорожной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Коргас – Жетыген к 2014 году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7"/>
        <w:gridCol w:w="878"/>
        <w:gridCol w:w="878"/>
        <w:gridCol w:w="878"/>
        <w:gridCol w:w="878"/>
        <w:gridCol w:w="921"/>
      </w:tblGrid>
      <w:tr>
        <w:trPr>
          <w:trHeight w:val="555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железнодорожной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Коргас – Жетыген к 2013 году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1.1.3. «Повышение уровня развития инфраструктуры гражданской авиации»: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Реконструкции (строительство) взлетно-посадочных полос, пассажирских и грузовых терминалов в 13 аэропортах республики» в графе «2015 год» значение «-» заменить значением «х»;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1.1.4. «Повышение уровня развития инфраструктуры водного транспорта»: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0"/>
        <w:gridCol w:w="878"/>
        <w:gridCol w:w="878"/>
        <w:gridCol w:w="878"/>
        <w:gridCol w:w="879"/>
        <w:gridCol w:w="837"/>
      </w:tblGrid>
      <w:tr>
        <w:trPr>
          <w:trHeight w:val="285" w:hRule="atLeast"/>
        </w:trPr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Пополнение торгового флота сухогрузными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судами, паромами и танкерами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0"/>
        <w:gridCol w:w="878"/>
        <w:gridCol w:w="878"/>
        <w:gridCol w:w="878"/>
        <w:gridCol w:w="879"/>
        <w:gridCol w:w="837"/>
      </w:tblGrid>
      <w:tr>
        <w:trPr>
          <w:trHeight w:val="270" w:hRule="atLeast"/>
        </w:trPr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Пополнение торгового флота паромами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6"/>
        <w:gridCol w:w="878"/>
        <w:gridCol w:w="879"/>
        <w:gridCol w:w="879"/>
        <w:gridCol w:w="879"/>
        <w:gridCol w:w="879"/>
      </w:tblGrid>
      <w:tr>
        <w:trPr>
          <w:trHeight w:val="120" w:hRule="atLeast"/>
        </w:trPr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Расширение порта Актау в северном направлении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«1.1.5. Повышение уровня развития инфраструктуры автотранспортной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5"/>
        <w:gridCol w:w="1739"/>
        <w:gridCol w:w="909"/>
        <w:gridCol w:w="494"/>
        <w:gridCol w:w="495"/>
        <w:gridCol w:w="495"/>
        <w:gridCol w:w="495"/>
        <w:gridCol w:w="713"/>
        <w:gridCol w:w="714"/>
        <w:gridCol w:w="911"/>
      </w:tblGrid>
      <w:tr>
        <w:trPr>
          <w:trHeight w:val="5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Снижение времени реагирования экстренных оперативных служб на дорожно-транспортные происшествия на автомобильных дорогах с участием автотранспортных средств, оснащенных устройствами вызова экстренных оперативных служб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«Мероприятия для достижения показателей прямых результатов»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3"/>
        <w:gridCol w:w="877"/>
        <w:gridCol w:w="877"/>
        <w:gridCol w:w="877"/>
        <w:gridCol w:w="878"/>
        <w:gridCol w:w="878"/>
      </w:tblGrid>
      <w:tr>
        <w:trPr>
          <w:trHeight w:val="405" w:hRule="atLeast"/>
        </w:trPr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нормативной правовой базы для создания системы экстренного вызова при авариях и катастрофах (ЭВАК)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05" w:hRule="atLeast"/>
        </w:trPr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Разработка проекта технико-экономического обоснования по созданию системы ЭВАК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Поэтапное оснащение автотранспортных средств устройствами вызова экстренных оперативных служб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регламентом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колесных транспортных средств» (ТР ТС 018/2011)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05" w:hRule="atLeast"/>
        </w:trPr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 целях обеспечения оперативного реагирования экстренных оперативных служб на дорожно-транспортные происшествия, разработка проекта Регламента взаимодействия между оператором системы ЭВАК и МЧС РК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>. «Развитие транзитно-транспортного потенциала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</w:t>
      </w:r>
      <w:r>
        <w:rPr>
          <w:rFonts w:ascii="Times New Roman"/>
          <w:b w:val="false"/>
          <w:i w:val="false"/>
          <w:color w:val="000000"/>
          <w:sz w:val="28"/>
        </w:rPr>
        <w:t>. «Увеличение объемов транзитных перевозок через территорию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«2012 год», «2013 год», «2014 год», «2015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Увеличение объемов перевозок грузов в транзитном направлении» цифры «17,0», «18,4», «19,4», «20,3» заменить соответственно цифрами «17,8», «19,0», «20,5», «22,0»;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ж/д транспорт» цифры «14,7», «15,4», «16,3», «17,3» заменить соответственно цифрами «16,2», «17,2», «18,4», «19,5»;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автотранспорт» цифры «0,91», «0,98», «1,05», «1,12» заменить соответственно цифрами «1,46», «1,6», «1,8», «2,0»;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«2012 год», «2015 год» строки «- водный транспорт» цифры «0,2», «0,3» заменить соответственно цифрами «16,2», «0,5»;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6"/>
        <w:gridCol w:w="1311"/>
        <w:gridCol w:w="1117"/>
        <w:gridCol w:w="765"/>
        <w:gridCol w:w="765"/>
        <w:gridCol w:w="901"/>
        <w:gridCol w:w="901"/>
        <w:gridCol w:w="901"/>
        <w:gridCol w:w="901"/>
        <w:gridCol w:w="902"/>
      </w:tblGrid>
      <w:tr>
        <w:trPr>
          <w:trHeight w:val="405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авиатранспорт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сам/км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6"/>
        <w:gridCol w:w="1311"/>
        <w:gridCol w:w="1117"/>
        <w:gridCol w:w="765"/>
        <w:gridCol w:w="765"/>
        <w:gridCol w:w="901"/>
        <w:gridCol w:w="901"/>
        <w:gridCol w:w="901"/>
        <w:gridCol w:w="901"/>
        <w:gridCol w:w="902"/>
      </w:tblGrid>
      <w:tr>
        <w:trPr>
          <w:trHeight w:val="405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Транзитные авиаперелеты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сам/км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9"/>
        <w:gridCol w:w="1321"/>
        <w:gridCol w:w="1125"/>
        <w:gridCol w:w="711"/>
        <w:gridCol w:w="711"/>
        <w:gridCol w:w="907"/>
        <w:gridCol w:w="908"/>
        <w:gridCol w:w="711"/>
        <w:gridCol w:w="908"/>
        <w:gridCol w:w="909"/>
      </w:tblGrid>
      <w:tr>
        <w:trPr>
          <w:trHeight w:val="405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Увеличение дохода от транзитных перевозок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6"/>
        <w:gridCol w:w="1313"/>
        <w:gridCol w:w="1119"/>
        <w:gridCol w:w="707"/>
        <w:gridCol w:w="707"/>
        <w:gridCol w:w="902"/>
        <w:gridCol w:w="902"/>
        <w:gridCol w:w="767"/>
        <w:gridCol w:w="903"/>
        <w:gridCol w:w="904"/>
      </w:tblGrid>
      <w:tr>
        <w:trPr>
          <w:trHeight w:val="405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Увеличение дохода от транзитных перевозок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«Повышение уровня интеграции транспортного комплекса Республики Казахстан в международные транспортные сети»: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7"/>
        <w:gridCol w:w="879"/>
        <w:gridCol w:w="880"/>
        <w:gridCol w:w="880"/>
        <w:gridCol w:w="880"/>
        <w:gridCol w:w="1324"/>
      </w:tblGrid>
      <w:tr>
        <w:trPr>
          <w:trHeight w:val="405" w:hRule="atLeast"/>
        </w:trPr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 транспортно-логистических объектов в Казахстане и за пределами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</w:t>
      </w:r>
      <w:r>
        <w:rPr>
          <w:rFonts w:ascii="Times New Roman"/>
          <w:b w:val="false"/>
          <w:i w:val="false"/>
          <w:color w:val="000000"/>
          <w:sz w:val="28"/>
        </w:rPr>
        <w:t>. «Развитие услуг, производства и инфраструктуры ИКТ, базирующейся на современных технологиях, ориентированной на предоставление мультимедийных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3.1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достижения роста доли сектора ИКТ в ВВП, включая развитие инфокоммуникационной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«Уровень доступности базовых услуг в сфере ИКТ и обеспечение 100-процентного охвата домохозяйств Республики Казахстан услугами телефонной связи, широкополосного доступа к Интернету»: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7"/>
        <w:gridCol w:w="1537"/>
        <w:gridCol w:w="1320"/>
        <w:gridCol w:w="906"/>
        <w:gridCol w:w="711"/>
        <w:gridCol w:w="906"/>
        <w:gridCol w:w="907"/>
        <w:gridCol w:w="711"/>
        <w:gridCol w:w="907"/>
        <w:gridCol w:w="908"/>
      </w:tblGrid>
      <w:tr>
        <w:trPr>
          <w:trHeight w:val="405" w:hRule="atLeast"/>
        </w:trPr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 транзита международных информационных потоков через Республику Казахстан (Европа/Россия-Азия)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год», «2014 год», «2015 год» строки «5. Ребалансирование тарифов на универсальные услуги телекоммуникаций» значение «х» заменить значением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3.1.2. «Обеспечение услугами мобильной связи всех населенных пунктов с численностью от 1000 человек и более»: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«3. Охват населенных пунктов с численностью от 1000 человек и более услугами сотовой связи» цифры «84» заменить цифрами «94»;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3.1.7. «Обеспечение условий развития конкуренции на соответствующих рынках услуг телекоммуникаций и почтовой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 строки «1. Количество проведенных анализов сфер естественных монополий в области телекоммуникаций на предмет выведения их в конкурентную среду» цифру «1» заменить значением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«5. Проведение анализа сферы естественной монополии в области телекоммуникаций на предмет отнесения услуг к регулируемым» значение «х» заменить значением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«6. Внесение изменений в перечень регулируемых услуг (товаров, работ) субъектов естественных монополий» значение «х» заменить значением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4</w:t>
      </w:r>
      <w:r>
        <w:rPr>
          <w:rFonts w:ascii="Times New Roman"/>
          <w:b w:val="false"/>
          <w:i w:val="false"/>
          <w:color w:val="000000"/>
          <w:sz w:val="28"/>
        </w:rPr>
        <w:t>. «Совершенствование процессов предоставления государственных услуг, технического сопровождения и интеграция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4.1</w:t>
      </w:r>
      <w:r>
        <w:rPr>
          <w:rFonts w:ascii="Times New Roman"/>
          <w:b w:val="false"/>
          <w:i w:val="false"/>
          <w:color w:val="000000"/>
          <w:sz w:val="28"/>
        </w:rPr>
        <w:t>. «Повышение качества оказания государственных услуг в электронном формате и уровня функционирования центров обслуживания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4.1.1. «Обеспечение безопасного доступа граждан и организаций к государственным электронным услугам посредством цифровых сертификатов»: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год», «2014 год», «2015 год» строки «6. Адаптация ИС «е-услуги акимата» и интеграция с существующими информационными системами местных исполнительных органов» значение «-» заменить значением «х»;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4"/>
        <w:gridCol w:w="685"/>
        <w:gridCol w:w="685"/>
        <w:gridCol w:w="685"/>
        <w:gridCol w:w="685"/>
        <w:gridCol w:w="686"/>
      </w:tblGrid>
      <w:tr>
        <w:trPr>
          <w:trHeight w:val="90" w:hRule="atLeast"/>
        </w:trPr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Формирование перечня функции (процессов) государственных органов, подлежащих автоматизации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4"/>
        <w:gridCol w:w="685"/>
        <w:gridCol w:w="685"/>
        <w:gridCol w:w="685"/>
        <w:gridCol w:w="685"/>
        <w:gridCol w:w="686"/>
      </w:tblGrid>
      <w:tr>
        <w:trPr>
          <w:trHeight w:val="90" w:hRule="atLeast"/>
        </w:trPr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Согласование перечня функций (процессов) государственных органов, подлежащих автоматизации (в случае поступления запроса от ГО в МТК)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3.2</w:t>
      </w:r>
      <w:r>
        <w:rPr>
          <w:rFonts w:ascii="Times New Roman"/>
          <w:b w:val="false"/>
          <w:i w:val="false"/>
          <w:color w:val="000000"/>
          <w:sz w:val="28"/>
        </w:rPr>
        <w:t xml:space="preserve">. изложить в следующей редакции: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«3.2. Соответствие стратегических направлений и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государственного органа стратегическим целям государства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3"/>
        <w:gridCol w:w="10257"/>
      </w:tblGrid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 государственного органа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программного документа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Достижение опережающих темпов развития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 комплекса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  № 922 «О Стратегическом плане развития Республики Казахстан до 2020 года».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30 января 2012 года № 261 «О мерах по реализации Послания Главы государства народу Казахстана от 27 января 2012 года «Социально-экономическая модернизация – главный вектор развития Казахстана».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Развитие транзитно-транспортного потенциала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Увеличение объемов транзитных перевозок через территорию Республики Казахстан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  № 922 «О Стратегическом плане развития Республики Казахстан до 2020 года».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Развитие услуг, производства и инфраструктуры ИКТ,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базирующейся на современных технологиях, ориентированных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 услуг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Обеспечение достижения роста доли сектора ИКТ в ВВП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30 января 2012 года № 261 «О мерах по реализации Послания главы государства народу Казахстана от 27 января 2012 года «Социально-экономическая модернизация – главный вектор развития Казахстана».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Совершенствование процессов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технического сопровождения и интеграции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государственных органов,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создание условий и механизмов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информационной инфраструктуры Таможенного союза</w:t>
            </w:r>
          </w:p>
        </w:tc>
      </w:tr>
      <w:tr>
        <w:trPr>
          <w:trHeight w:val="1725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4.1. Повышение качества оказания государственных услуг в электронном формате и уровня функционирования центров обслуживания населения 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  № 922 «О Стратегическом плане развития Республики Казахстан до 2020 года».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30 января 2012 года № 261 «О мерах по реализации Послания Главы государства народу Казахстана от 27 января 2012 года «Социально-экономическая модернизация – главный вектор развития Казахстана».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государства».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«Развитие транспортной инфраструктуры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«Мероприятия по реализации стратегического направления и цели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«1.1. Достижение опережающих темпов развития транспортно-коммуникационного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Разработка государственной программы по развитию транспортной инфраструктуры Республики Казахстан до 2020 года» с периодом реализации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«Развитие транзитно-транспортного потенциала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«2.1. Увеличение объемов транзитных перевозок через территорию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«Мероприятия по реализации стратегического направления и цели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Разработка государственной программы по развитию транспортной инфраструктуры Республики Казахстан до 2020 года» с периодом реализации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