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f1f8" w14:textId="a1ef1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октября 2012 года № 1382 "Об одобрении Концепции развития социально-предпринимательских корпораций"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2013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2012 года № 1382 «Об одобрении Концепции развития социально-предпринимательских корпораций»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Концепции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социально-предпринимательских корпораций, одобренной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«1. Видение развития социально-предпринимательских корпораций»: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«Анализ текущей ситуации»: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девятой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«СПК осуществляют свою деятельность посредством реализации стратегии развития.»;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«Миссия, видение, цели и задачи СПК»: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третью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«Цель – поддержка бизнес-инициатив и стимулирование экономической активности в точках роста региона.»;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четвертую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Создание новых и модернизация существующих конкурентоспособных производств в приоритетных секторах экономики региона (точках роста).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Обеспечение вовлечения государственных активов в деловой оборот, оздоровление проблемных активов и развитие на их базе конкурентоспособных производств.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Внедрение передовых производственных и управленческих технологий и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Увеличение стоимости активов.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Развитие инфраструктуры поддержки начинающего бизнеса (бизнес-инкубаторов, технопарков, индустриальных зон).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Развитие кластеров в приоритетных отраслях, а также координация партнерских программ по развитию МСБ вокруг системообразующих и крупных компаний регионов.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Оказание нефинансовой поддержки бизнеса в рамках деятельности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Расширение сотрудничества с государственными институтами развития для реализации бизнес-проектов.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Развитие коммуникаций и обмен навыками между портфельными компаниями.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Содействие брендированию продукции для более активного продвижения продукции на внутреннем и внешнем рынках.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Привлечение в регионы отечественных и зарубежных инвесторов для реализации перспективных проектов, в том числе на принципах государственно-частного партнерства.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Оказание инвесторам содействия в реализации проектов через долевое финансирование, участие активами, а также получение финансирования в рамках государственных и отраслевых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Иные задачи, установленные акционерами.»;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Основные принципы и общие подходы развития СПК»: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«Основные принципы деятельности СПК»: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первой слова «единственного акционера» заменить словом «акционеров»;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«Общие подходы развития СПК»: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Инвестиционная деятельность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четвертой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«СПК активно принимают участие в разработке МИО региональных карт развития с учетом основных специализаций регионов и формировании перечня перспективных и конкурентоспособных проектов для привлечения инвесторов.»;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Проекты по недропользованию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«СПК передаются права недропользования по месторождениям общераспространенных полезных ископаемых, техногенным минеральным образованиям, подземным водам, а также месторождениям твердых полезных ископаемых, не представляющим интерес для АО «Тау-Кен Самрук». При реализации проектов в сфере недропользования с участием СПК доля СПК не должна превышать 49 %.»;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«</w:t>
      </w:r>
      <w:r>
        <w:rPr>
          <w:rFonts w:ascii="Times New Roman"/>
          <w:b w:val="false"/>
          <w:i w:val="false"/>
          <w:color w:val="000000"/>
          <w:sz w:val="28"/>
        </w:rPr>
        <w:t>Корпоративное управление</w:t>
      </w:r>
      <w:r>
        <w:rPr>
          <w:rFonts w:ascii="Times New Roman"/>
          <w:b w:val="false"/>
          <w:i w:val="false"/>
          <w:color w:val="000000"/>
          <w:sz w:val="28"/>
        </w:rPr>
        <w:t>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первую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обеспечения эффективной модели управления СПК должны активно внедрять современные стандарты корпоративного управления, соответствующие лучшей мировой практике, в том числе организовать обучающие программы для руководителей СПК. Необходимо публиковать отчеты СПК, в том числе решения правления (за исключением конфиденциальной информации), Совета директоров и акционеров СПК, это позволит обеспечить эффективность и повысить прозрачность деятельности компаний.»;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второй и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«Необходимо усилить СПК за счет включения в их состав квалифицированных специалистов, в том числе иностранных, с опытом работы в крупных компаниях на развивающихся рынках, соответствующих профилю деятельности компании, перечень которых может быть указан в квалификационных требованиях.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Следует пересмотреть кадровую политику СПК с ориентацией на привлечение людей с опытом работы в бизнесе, в том числе выпускников программы «Болашак».»;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«Вопросы взаимодействия социально-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предпринимательских корпораций с государственными органами и институтами развития»: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вторую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«МИО осуществляют управление СПК исключительно посредством реализации полномочий акционера, предусмотренных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Об акционерных обществах</w:t>
      </w:r>
      <w:r>
        <w:rPr>
          <w:rFonts w:ascii="Times New Roman"/>
          <w:b w:val="false"/>
          <w:i w:val="false"/>
          <w:color w:val="000000"/>
          <w:sz w:val="28"/>
        </w:rPr>
        <w:t>» и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имуществе</w:t>
      </w:r>
      <w:r>
        <w:rPr>
          <w:rFonts w:ascii="Times New Roman"/>
          <w:b w:val="false"/>
          <w:i w:val="false"/>
          <w:color w:val="000000"/>
          <w:sz w:val="28"/>
        </w:rPr>
        <w:t>» и/или уставами СПК.»;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части третьей: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«как единственного акционера»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внедрять в группе СПК наилучшую практику корпоративного управления, в том числе путем принятия внутренней политики и регламентов в соответствии с типовыми документами;»;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в СПК будут переданы лишь те проблемные активы, по которым имеются планы (программы) оздоровления и финансирования.»;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пятую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реализации инвестиционных проектов МИО обеспечат передачу СПК земельных участков, обеспеченных инфраструктурными сетями, в том числе передачу управления СПК создаваемыми индустриальными зонами.»;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части шестой: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«единственного акционера» заменить словом «акционеров»;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«единственный»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восьмой после слова «программы» дополнить словами «и обеспечивает минимальную прибыль;»;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частями девятой и десятой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этом по решению акционеров осуществляется выход СПК из действующих программных документов, по которым они несут убытки, путем внесения в них соответствующих изменений.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проектам СПК предоставляется государственная поддержка через  </w:t>
      </w:r>
      <w:r>
        <w:rPr>
          <w:rFonts w:ascii="Times New Roman"/>
          <w:b w:val="false"/>
          <w:i w:val="false"/>
          <w:color w:val="000000"/>
          <w:sz w:val="28"/>
        </w:rPr>
        <w:t>Программу</w:t>
      </w:r>
      <w:r>
        <w:rPr>
          <w:rFonts w:ascii="Times New Roman"/>
          <w:b w:val="false"/>
          <w:i w:val="false"/>
          <w:color w:val="000000"/>
          <w:sz w:val="28"/>
        </w:rPr>
        <w:t xml:space="preserve"> «Дорожная карта бизнеса 2020», а также другие государственные и отраслевые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части девятой слова «в СПК» заменить словами «в уполномоченный орган по координации деятельности СПК.»;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часть десятую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«СПК должны активно взаимодействовать с институтами развития по совмещению инструментов поддержки бизнеса, а также обеспечению доступа для бизнеса к ресурсам данных институтов.»;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«СПК могут выполнять роль региональных операторов по реализации государственных и отраслевых программ и представлять интересы институтов развития на местном уровне. Это будет предусмотрено в соответствующих нормативных правовых актах и договорах по оказанию услуг оператора, заключенных институтами развития и СПК. При этом услуги СПК по операторству оплачиваются в рамках бюджетных программ.»;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«Источники финансирования»: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часть третью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«При передаче акиматами нерентабельных активов будет предусмотрено финансирование в соответствии с планом по оздоровлению данных активов. Улучшение финансового состояния СПК предполагается посредством ведения раздельного учета доходов, разработки планов оздоровления, определения требований и условия по выходу СПК из проектов.».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государственным органам принять необходимые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