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2977" w14:textId="2532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февраля 2011 года № 102 "О Стратегическом плане Министерства индустрии и новых технологий Республики Казахстан на 2011 - 2015 годы" и признании утратившим силу постановления Правительства Республики Казахстан от 29 декабря 2012 года № 1806 "О Стратегическом плане Агентства Республики Казахстан по атомной энергии на 2012 - 2016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2013 года № 440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102 «О Стратегическом плане Министерства индустрии и новых технологий Республики Казахстан на 2011 – 2015 годы» (САПП Республики Казахстан, 2011 г., № 18, ст. 218)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индустрии и новых технологий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Миссия и видение»: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«Видение»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«использование атомной энергии, обеспечение ядерной, радиационной и физической безопасности, соблюдение режима нераспространения ядерного оружия на территории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Анализ текущей ситуации и тенденции развития соответствующих отраслей (сфер)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отраслей промышленности» дополнить частями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«Атомная промышленность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запасов и ресурсов энергоносителей Казахстана показывает, что доля урана в пересчете энергоносителей на условное топливо составляет более 40 %.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Добыча урана в Республике Казахстан ежегодно увеличивается. В 2009 году Казахстан вышел на первое место по добыче урана в мире. В 2010 году в Казахстане добыто более 17 тыс. тонн, что составляет примерно 33 % от мировой добычи. В 2012 – 2015 годах планируется увеличение до 25 тыс.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проблемами атомной промышленности является отсутствие внутреннего рынка потребления урановой продукции и собственных технологий в области конверсии и обогащения урана.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Возможности по обмену урановых активов в Казахстане на более высокотехнологичные активы ядерного топливного цикла.»;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«Обеспечение растущей потребности экономики в энергии» дополнить частями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«Другим источником обеспечения растущей потребности экономики в энергии является развитие атомной энергетики.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гарантированного обеспечения энергетической безопасности Республики Казахстан в долговременной перспективе предполагаются строительство и ввод в эксплуатацию АЭС, что позволит вовлечь в топливный цикл значительные запасы урана и, тем самым, диверсифицировать генерирующие мощности энергетики республики, а также оптимизировать использование имеющихся углеводородных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принятия решения по строительству АЭС необходимо проведение комплекса подготовительных мероприятий, таких как проведение технико-экономических исследований в обоснование строительства АЭС в Республике Казахстан, выбор площадок для размещения АЭС, разработка технико-экономического обоснования строительства АЭС, формирование атомной энергетической компании, подготовка нормативно-правовой базы для проведения тендера на сооружение АЭС.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атомной энергетики включает в себя не только развитие энерготехнологии, но и развитие необходимой инфраструктуры, других наукоемких ядерных технологий, применяемых в различных отраслях промышленности и медицине.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наукоемких производств, повышение ядерной и радиационной безопасности требуют комплексной модернизации и формирования научно-технической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Элементами государственного регулирования безопасности в сфере использования атомной энергии являются лицензирование, осуществление надзора и контроля за обеспечением ядерной и радиационной безопасности, разработка нормативных документов. В целом, предполагается снижение количества разрешительных документов в 2014 году по сравнению с 2010 годом на 30 %.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Анализ основных проблем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проблемами атомной энергетики являются отсутствие решения о площадке размещения АЭС и типа реакторной установки, а также отсутствие специализированной компании, ответственной за развитие атомной энергетики.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Оценка основных внешних и внутренних факторов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мировой атомной энергетики представляет возможности для вхождения в перспективные сегменты производства ядерного топлива и строительства АЭС. Так, продолжаются работы по созданию вертикально-интегрированной ядерной компании через проведение многовекторной политики, формирование альянсов с ведущими странами-производителями урановой продукции, в том числе вхождение в рынок услуг по обогащению (изотопному разделению) урана совместно с российским предприятием Уральский электрохимический комбинат (г. Екатеринбург).»;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3.1</w:t>
      </w:r>
      <w:r>
        <w:rPr>
          <w:rFonts w:ascii="Times New Roman"/>
          <w:b w:val="false"/>
          <w:i w:val="false"/>
          <w:color w:val="000000"/>
          <w:sz w:val="28"/>
        </w:rPr>
        <w:t>. «Стратегические направления, цели, задачи, целевые индикаторы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стратегическом направлении 1. «Создание условий для индустриально-инновационного развития»: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1.2. «Инвестиционное обеспечение индустриального развития»: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1"/>
        <w:gridCol w:w="972"/>
        <w:gridCol w:w="660"/>
        <w:gridCol w:w="785"/>
        <w:gridCol w:w="701"/>
        <w:gridCol w:w="597"/>
        <w:gridCol w:w="556"/>
        <w:gridCol w:w="556"/>
        <w:gridCol w:w="597"/>
        <w:gridCol w:w="995"/>
      </w:tblGrid>
      <w:tr>
        <w:trPr>
          <w:trHeight w:val="405" w:hRule="atLeast"/>
        </w:trPr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 индикатору «Эффект регулирования на прямые иностранные инвестиции»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ГИК ВЭФ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</w:tbl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1.2.1. «Создание условий для привлечения инвестиций в несырьевые и высокотехнологичные производства»: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4"/>
        <w:gridCol w:w="489"/>
        <w:gridCol w:w="614"/>
        <w:gridCol w:w="779"/>
        <w:gridCol w:w="733"/>
        <w:gridCol w:w="676"/>
        <w:gridCol w:w="697"/>
        <w:gridCol w:w="717"/>
        <w:gridCol w:w="614"/>
        <w:gridCol w:w="657"/>
      </w:tblGrid>
      <w:tr>
        <w:trPr>
          <w:trHeight w:val="30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прямых иностранных инвестиций (ПИИ) в ВВП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</w:p>
        </w:tc>
      </w:tr>
      <w:tr>
        <w:trPr>
          <w:trHeight w:val="30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 и отечественные инвестиции в несырьевые сектора экономики увеличатся не менее чем на 30 % к 2020 году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1.2.3. «Развитие местного содержания»: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«Показатели прямых результатов» слова «казахстанского содержания» заменить словами «местного содержания»;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1.3. «Развитие системы технического регулирования и метрологии»: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8"/>
        <w:gridCol w:w="723"/>
        <w:gridCol w:w="1308"/>
        <w:gridCol w:w="786"/>
        <w:gridCol w:w="786"/>
        <w:gridCol w:w="702"/>
        <w:gridCol w:w="870"/>
        <w:gridCol w:w="786"/>
        <w:gridCol w:w="975"/>
        <w:gridCol w:w="996"/>
      </w:tblGrid>
      <w:tr>
        <w:trPr>
          <w:trHeight w:val="405" w:hRule="atLeast"/>
        </w:trPr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гармонизации государственных стандартов с требованиями международных, региональных стандартов и национальных стандартов иностранных государств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8"/>
        <w:gridCol w:w="1196"/>
        <w:gridCol w:w="727"/>
        <w:gridCol w:w="788"/>
        <w:gridCol w:w="788"/>
        <w:gridCol w:w="788"/>
        <w:gridCol w:w="788"/>
        <w:gridCol w:w="789"/>
        <w:gridCol w:w="789"/>
        <w:gridCol w:w="789"/>
      </w:tblGrid>
      <w:tr>
        <w:trPr>
          <w:trHeight w:val="405" w:hRule="atLeast"/>
        </w:trPr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гармонизации национальных стандартов с требованиями международных, региональных стандартов и национальных стандартов иностранных государств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</w:t>
            </w:r>
          </w:p>
        </w:tc>
      </w:tr>
    </w:tbl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1.3.1. «Создание условий для производства продукции соответствующей мировым стандартам»: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8"/>
        <w:gridCol w:w="1298"/>
        <w:gridCol w:w="625"/>
        <w:gridCol w:w="788"/>
        <w:gridCol w:w="788"/>
        <w:gridCol w:w="788"/>
        <w:gridCol w:w="788"/>
        <w:gridCol w:w="789"/>
        <w:gridCol w:w="789"/>
        <w:gridCol w:w="789"/>
      </w:tblGrid>
      <w:tr>
        <w:trPr>
          <w:trHeight w:val="30" w:hRule="atLeast"/>
        </w:trPr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60-ти кратная модернизация (дооснащение) не менее 30 государственных эталонов и эталонного оборудования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8"/>
        <w:gridCol w:w="1298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>
        <w:trPr>
          <w:trHeight w:val="30" w:hRule="atLeast"/>
        </w:trPr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модернизаций (дооснащений) государственных эталонов и эталонного оборудования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«2. Развитие отраслей промышленности и туризма»: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2.1. «Развитие обрабатывающей промышленности»: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2.1.1. «Развитие горно-металлургического комплекса»: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1"/>
        <w:gridCol w:w="269"/>
        <w:gridCol w:w="598"/>
        <w:gridCol w:w="330"/>
        <w:gridCol w:w="843"/>
        <w:gridCol w:w="1110"/>
        <w:gridCol w:w="976"/>
        <w:gridCol w:w="976"/>
        <w:gridCol w:w="977"/>
        <w:gridCol w:w="977"/>
      </w:tblGrid>
      <w:tr>
        <w:trPr>
          <w:trHeight w:val="30" w:hRule="atLeast"/>
        </w:trPr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продукции металлургической промышленности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</w:t>
            </w:r>
          </w:p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5"/>
        <w:gridCol w:w="534"/>
        <w:gridCol w:w="332"/>
        <w:gridCol w:w="492"/>
        <w:gridCol w:w="580"/>
        <w:gridCol w:w="802"/>
        <w:gridCol w:w="708"/>
        <w:gridCol w:w="508"/>
        <w:gridCol w:w="508"/>
        <w:gridCol w:w="508"/>
      </w:tblGrid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продукции металлургической промышленности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</w:tbl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2.1.4. «Развитие химической промышленности»: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8"/>
        <w:gridCol w:w="569"/>
        <w:gridCol w:w="366"/>
        <w:gridCol w:w="638"/>
        <w:gridCol w:w="786"/>
        <w:gridCol w:w="787"/>
        <w:gridCol w:w="787"/>
        <w:gridCol w:w="787"/>
        <w:gridCol w:w="787"/>
        <w:gridCol w:w="787"/>
      </w:tblGrid>
      <w:tr>
        <w:trPr>
          <w:trHeight w:val="9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продуктов химической промышленности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</w:tbl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8"/>
        <w:gridCol w:w="521"/>
        <w:gridCol w:w="364"/>
        <w:gridCol w:w="742"/>
        <w:gridCol w:w="781"/>
        <w:gridCol w:w="781"/>
        <w:gridCol w:w="781"/>
        <w:gridCol w:w="781"/>
        <w:gridCol w:w="781"/>
        <w:gridCol w:w="782"/>
      </w:tblGrid>
      <w:tr>
        <w:trPr>
          <w:trHeight w:val="42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продуктов химической промышленности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</w:tbl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2.1.7. «Государственные услуги, удовлетворяющие потребностям получателя»: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0"/>
        <w:gridCol w:w="1060"/>
        <w:gridCol w:w="587"/>
        <w:gridCol w:w="588"/>
        <w:gridCol w:w="588"/>
        <w:gridCol w:w="588"/>
        <w:gridCol w:w="588"/>
        <w:gridCol w:w="588"/>
        <w:gridCol w:w="364"/>
        <w:gridCol w:w="390"/>
      </w:tblGrid>
      <w:tr>
        <w:trPr>
          <w:trHeight w:val="210" w:hRule="atLeast"/>
        </w:trPr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Автоматизированные государственные услуги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6"/>
        <w:gridCol w:w="1056"/>
        <w:gridCol w:w="585"/>
        <w:gridCol w:w="585"/>
        <w:gridCol w:w="586"/>
        <w:gridCol w:w="586"/>
        <w:gridCol w:w="586"/>
        <w:gridCol w:w="586"/>
        <w:gridCol w:w="586"/>
        <w:gridCol w:w="388"/>
      </w:tblGrid>
      <w:tr>
        <w:trPr>
          <w:trHeight w:val="180" w:hRule="atLeast"/>
        </w:trPr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Автоматизированные государственные услуги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стратегическом направлении 3. « Обеспечение растущей потребности экономики в энергии»: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3.1. «Развитие энергетического комплекса»: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3.1.1. «Развитие электроэнергетики и угольной промышленности»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4"/>
        <w:gridCol w:w="533"/>
        <w:gridCol w:w="533"/>
        <w:gridCol w:w="534"/>
        <w:gridCol w:w="799"/>
        <w:gridCol w:w="799"/>
        <w:gridCol w:w="799"/>
        <w:gridCol w:w="799"/>
        <w:gridCol w:w="800"/>
        <w:gridCol w:w="800"/>
      </w:tblGrid>
      <w:tr>
        <w:trPr>
          <w:trHeight w:val="18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электроснабжения, подачи газа, пара и воздушного кондиционирования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105,6</w:t>
            </w:r>
          </w:p>
        </w:tc>
      </w:tr>
    </w:tbl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7"/>
        <w:gridCol w:w="565"/>
        <w:gridCol w:w="565"/>
        <w:gridCol w:w="565"/>
        <w:gridCol w:w="847"/>
        <w:gridCol w:w="847"/>
        <w:gridCol w:w="847"/>
        <w:gridCol w:w="847"/>
        <w:gridCol w:w="848"/>
        <w:gridCol w:w="848"/>
      </w:tblGrid>
      <w:tr>
        <w:trPr>
          <w:trHeight w:val="18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производства, передача и распределение электроэнергии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105,6</w:t>
            </w:r>
          </w:p>
        </w:tc>
      </w:tr>
    </w:tbl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стратегическим направлением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«Стратегическое направление 5. «Создание условий для развития сферы использования атомной энергии»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433"/>
        <w:gridCol w:w="4"/>
        <w:gridCol w:w="433"/>
        <w:gridCol w:w="575"/>
        <w:gridCol w:w="708"/>
        <w:gridCol w:w="708"/>
        <w:gridCol w:w="719"/>
        <w:gridCol w:w="1403"/>
        <w:gridCol w:w="5"/>
        <w:gridCol w:w="653"/>
        <w:gridCol w:w="708"/>
        <w:gridCol w:w="933"/>
      </w:tblGrid>
      <w:tr>
        <w:trPr>
          <w:trHeight w:val="18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5. Создание условий для развития сферы использования атомной энергии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 Развитие атомной промышленности, энергетики и науки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бюджетной программы: 001, 006, 031, 034, 038, 044, 047</w:t>
            </w:r>
          </w:p>
        </w:tc>
      </w:tr>
      <w:tr>
        <w:trPr>
          <w:trHeight w:val="18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объема добычи урана к 2015 году на 72 % от уровня 2009 года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5.1.1. Развитие атомной промышленности</w:t>
            </w:r>
          </w:p>
        </w:tc>
      </w:tr>
      <w:tr>
        <w:trPr>
          <w:trHeight w:val="18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производительности труда в производстве химического концентрата природного урана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 урана/чел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</w:p>
        </w:tc>
      </w:tr>
      <w:tr>
        <w:trPr>
          <w:trHeight w:val="18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 по обогащению урана в рамках создания вертикально-интегрированной компании, диверсифицированной в дореакторный ядерно-топливный цикл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ЕРР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5.1.2. Развитие атомной энергетики</w:t>
            </w:r>
          </w:p>
        </w:tc>
      </w:tr>
      <w:tr>
        <w:trPr>
          <w:trHeight w:val="18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нормативной документацией строительства АЭС в Казахстане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5.1.3. Развитие науки и технологий в сфере использования атомной энергии</w:t>
            </w:r>
          </w:p>
        </w:tc>
      </w:tr>
      <w:tr>
        <w:trPr>
          <w:trHeight w:val="18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 аттестованных/внедренных технологий, методик в области атомной энергетики (к уровню 2011 года)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 инновационных производств (к уровню 2012 года)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номенклатуры отечественных радиофарм препаратов (к уровню 2013 года)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5.1.4. Поддержка режима нераспространения и обеспечение радиационной безопасности на территории РК</w:t>
            </w:r>
          </w:p>
        </w:tc>
      </w:tr>
      <w:tr>
        <w:trPr>
          <w:trHeight w:val="18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достоверности локализации и характеристик геофизических событий (от уровня 2010 года)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8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общей площади обследованной территории СИП (18 500 кв.км)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45,2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5.2. Государственное регулирование безопасности в сфере использования атомной энергии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бюджетной программы: 001, 031</w:t>
            </w:r>
          </w:p>
        </w:tc>
      </w:tr>
      <w:tr>
        <w:trPr>
          <w:trHeight w:val="18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безопасного использования атомной энергии (лицензирование, инспекции МАГАТЭ в рамках соглашения о Гарантиях, учет и контроль ядерных материалов, ядерная физическая безопасность, учет источников ионизирующего излучения)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5.2.1. Контроль безопасности деятельности с использованием атомной энергии и совершенствование нормативной базы</w:t>
            </w:r>
          </w:p>
        </w:tc>
      </w:tr>
      <w:tr>
        <w:trPr>
          <w:trHeight w:val="18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охвата инспектированием деятельности в сфере использования атомной энергии (согласно системе оценки рисков)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18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охвата нормативными правовыми документами деятельности, связанной с использованием атомной энергии (по отношению к необходимому количеству НПА)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18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обязательств по Конвенции о ядерной безопасности (от 17 июня 1997 года) и Объединенной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безопасности обращения с отработавшим топливом и о безопасности обращения с радиоактивными отходами (от 5 сентября 1997 года)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5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«Межведомственное взаимодействие»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«Услуги по обеспечению стандартизации, метрологии, промышленности, привлечения инвестиций, электроэнергетики, геологии, топливно-энергетического комплекса, угольной промышленности и туристской индустрии»: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«Содержание центрального аппарата и территориальных подразделений» цифры «847» заменить цифрами «914»;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«Изготовление бланков строгой отчетности (лицензии, аттестаты экспертов-аудиторов, свидетельство о регистрации зарубежных органов по подтверждению соответствия, сертификат о происхождении товара)» цифры «1250» заменить цифрами «1550»;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«Обучение специалистов по новым стандартам систем менеджмента» цифры «37» заменить цифрами «42»;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5"/>
        <w:gridCol w:w="722"/>
        <w:gridCol w:w="608"/>
        <w:gridCol w:w="654"/>
        <w:gridCol w:w="722"/>
        <w:gridCol w:w="905"/>
        <w:gridCol w:w="928"/>
        <w:gridCol w:w="1156"/>
        <w:gridCol w:w="906"/>
      </w:tblGrid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отчета по итогам разработки мастер-плана кластерной программы развития туризма Восточно-Казахстанской области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2"/>
        <w:gridCol w:w="949"/>
        <w:gridCol w:w="785"/>
        <w:gridCol w:w="916"/>
        <w:gridCol w:w="785"/>
        <w:gridCol w:w="785"/>
        <w:gridCol w:w="835"/>
        <w:gridCol w:w="967"/>
        <w:gridCol w:w="982"/>
      </w:tblGrid>
      <w:tr>
        <w:trPr>
          <w:trHeight w:val="21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национального доклада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1810"/>
        <w:gridCol w:w="833"/>
        <w:gridCol w:w="1028"/>
        <w:gridCol w:w="1028"/>
        <w:gridCol w:w="857"/>
        <w:gridCol w:w="1130"/>
        <w:gridCol w:w="838"/>
        <w:gridCol w:w="62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исследования в части инвестиционной привлекательности страны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исследования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«Показатели конечного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7"/>
        <w:gridCol w:w="921"/>
        <w:gridCol w:w="1006"/>
        <w:gridCol w:w="1137"/>
        <w:gridCol w:w="819"/>
        <w:gridCol w:w="888"/>
        <w:gridCol w:w="1006"/>
        <w:gridCol w:w="1137"/>
        <w:gridCol w:w="888"/>
      </w:tblGrid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прямых иностранных инвестиций в ВВП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</w:p>
        </w:tc>
      </w:tr>
    </w:tbl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«Средние затраты на содержание одной единицы штатной численности» цифры «3343,9» заменить цифрами «3407,8»;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«Объем бюджетных расходов» цифры «2832289» заменить цифрами «3114769»;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006 «Прикладные научные исследования технологического характера»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013 «Услуги в сфере технического регулирования и метрологии»: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2"/>
        <w:gridCol w:w="880"/>
        <w:gridCol w:w="1124"/>
        <w:gridCol w:w="738"/>
        <w:gridCol w:w="991"/>
        <w:gridCol w:w="1124"/>
        <w:gridCol w:w="991"/>
        <w:gridCol w:w="1124"/>
        <w:gridCol w:w="1125"/>
      </w:tblGrid>
      <w:tr>
        <w:trPr>
          <w:trHeight w:val="30" w:hRule="atLeast"/>
        </w:trPr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государственных стандартов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2"/>
        <w:gridCol w:w="848"/>
        <w:gridCol w:w="728"/>
        <w:gridCol w:w="855"/>
        <w:gridCol w:w="855"/>
        <w:gridCol w:w="855"/>
        <w:gridCol w:w="970"/>
        <w:gridCol w:w="855"/>
        <w:gridCol w:w="1097"/>
      </w:tblGrid>
      <w:tr>
        <w:trPr>
          <w:trHeight w:val="30" w:hRule="atLeast"/>
        </w:trPr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принятие ежегодно не менее 500 нормативных документов по стандартизации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020 «Содействие привлечению инвестиций в Республику Казахстан в рамках направления «Инвестор - 2020»: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0"/>
        <w:gridCol w:w="1075"/>
        <w:gridCol w:w="1155"/>
        <w:gridCol w:w="1020"/>
        <w:gridCol w:w="955"/>
        <w:gridCol w:w="1155"/>
        <w:gridCol w:w="955"/>
        <w:gridCol w:w="698"/>
        <w:gridCol w:w="833"/>
      </w:tblGrid>
      <w:tr>
        <w:trPr>
          <w:trHeight w:val="30" w:hRule="atLeast"/>
        </w:trPr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прямых иностранных инвестиций (ПИИ) в ВВП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 индикатору «Эффект регулирования на прямые иностранные инвестиции»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</w:tbl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5"/>
        <w:gridCol w:w="965"/>
        <w:gridCol w:w="616"/>
        <w:gridCol w:w="939"/>
        <w:gridCol w:w="672"/>
        <w:gridCol w:w="672"/>
        <w:gridCol w:w="1038"/>
        <w:gridCol w:w="883"/>
        <w:gridCol w:w="869"/>
      </w:tblGrid>
      <w:tr>
        <w:trPr>
          <w:trHeight w:val="30" w:hRule="atLeast"/>
        </w:trPr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отечественных и иностранных инвестиций в несыревые секторы экономики к показателю 2009 года на %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отечественных и иностранных инвестиций в несырьевые секторы экономики (обрабатывающая промышленность, переработка сельскохозяйственной продукции, услуги)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прямых иностранных инвестиций (ПИИ) к ВВП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</w:p>
        </w:tc>
      </w:tr>
    </w:tbl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031 «Капитальные расходы Министерства индустрии и новых технологий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строки «Объем бюджетных расходов» цифры «88786» заменить цифрами «95521»;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034 «Консервация и ликвидация урановых рудников, захоронение техногенных отходов», 038 «Обеспечение радиационной безопасности на территории Республики Казахстан», 044 «Мониторинг ядерных испытаний» изложить в новой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бюджетной программы 066 «Увеличение уставных капиталов юридических лиц на развитие индустриально-инновационной инфраструктуры» дополнить бюджетными программами 047 «Создание Центра ядерной медицины и биофизики», 050 «Увеличение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экономики», 051 «Кредитование АО «Фонд национального благосостояния «Самрук-Казына» для обеспечения конкурентоспособности и устойчивости национальной экономики» и 055 «Развитие инфраструктуры специальной экономической зоны «Парк инновационных технологий»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7.2.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«3-й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«ВСЕГО бюджетных расходов» цифры «111398771» заменить цифрами «113391551»;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«текущие бюджетные программы» цифры «26339374» заменить цифрами «27964218»;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«бюджетные программы развития» цифры «85059397» заменить цифрами «85427333».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1806 «О Стратегическом плане Агентства Республики Казахстан по атомной энергии на 2012 – 2016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подлежит официальному опубликованию.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2013 года № 440</w:t>
      </w:r>
    </w:p>
    <w:bookmarkEnd w:id="24"/>
    <w:bookmarkStart w:name="z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Раздел 5. Межведомственное взаимодействие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5"/>
        <w:gridCol w:w="3483"/>
        <w:gridCol w:w="4045"/>
      </w:tblGrid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задач, для достижения которых требуется межведомственное взаимодействие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орган, с которым осуществляется межведомственное взаимодействие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Меры, предполагаемые для установления межведомственных взаимосвязей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1. Создание условий для индустриально-инновационного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1.3. Развитие системы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1.3.1. Создание условий для производства продукции, соответствующей мировым стандартам, внедрения систем менеджмента и технологического перевооружения.</w:t>
            </w:r>
          </w:p>
        </w:tc>
      </w:tr>
      <w:tr>
        <w:trPr>
          <w:trHeight w:val="30" w:hRule="atLeast"/>
        </w:trPr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принятие ежегодно не менее 500 нормативных документов по стандартизации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МООС, МВД, МЧС, МНГ, МСХ, МЗ, МТСЗН, НКА, МРР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действующих нормативных документов в секторах экономики с целью их актуализации требованиям рынка.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разработке стандартов.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национальных стандартов, гармонизированных с международными требованиями.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Астана и Алматы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планов по внедрению технических регламентов, стандартов, в том числе стандартов на системы менеджмента на предприятиях и организациях областей и городов на 2012 год</w:t>
            </w:r>
          </w:p>
        </w:tc>
      </w:tr>
      <w:tr>
        <w:trPr>
          <w:trHeight w:val="30" w:hRule="atLeast"/>
        </w:trPr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предприятий, внедривших и сертифицировавших системы менеджмента (до 4600)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МТК, МСХ, МЧС, АО "Самрук-Казына", АО КазАгро"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внедрения в качестве пилотного проекта по обязательному внедрению стандартов систем менеджмента серий 14000 (экологическая безопасность), 22000 (пищевая безопасность), OHSAS 18001 (промышленная безопасность), 27001 (информационная безопасность)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 с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МООС,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МТСЗН, МЧС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возможности внедрения систем менеджмента в областях автомобилестроения, социальной ответственности, управления рисками, авиационной техники, нефтедобывающей отрасли, логистики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1.3.2. Ограничение отечественного рынка от опасной и некачественной (нестандартной) продукции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принятие технических регламентов в рамках Таможенного союза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МООС, МВД, МЧС, МНГ, МСХ, МЗ, МТСЗН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разработка технических регламентов, принятие мер по внедрению и адаптации технических регламентов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Развитие отраслей промышленности и туризма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Развитие обрабатывающей промышленности</w:t>
            </w:r>
          </w:p>
        </w:tc>
      </w:tr>
      <w:tr>
        <w:trPr>
          <w:trHeight w:val="30" w:hRule="atLeast"/>
        </w:trPr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 индикатору «Длина цепочки добавленной стоимости»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МСХ, МНГ, акимы областей, гг. Астана и Алматы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содействия в модернизации и создании новых предприятий обрабатывающей промышленности, в рамках инструментов поддержки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форсированному индустриально-инновационному развитию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«КИРИ», АО «НАТР»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Реализация проектов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«Производительность 2020».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Рассмотрение на заседаниях Штаба координационного совета инвестиционных проектов для включения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индустриализации.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Мониторинг действующих инвестиционных проектов.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консультационной поддержки заявителям инвестиционных проектов по действующим мерам государственной поддержки.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Привлечение инвесторов для реализации «нишевых» проектов, ориентированных на выпуск продукции с высокой добавленной стоимостью.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логистических центров</w:t>
            </w:r>
          </w:p>
        </w:tc>
      </w:tr>
      <w:tr>
        <w:trPr>
          <w:trHeight w:val="30" w:hRule="atLeast"/>
        </w:trPr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 индикатору «Кластерное развитие»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МОН, МТК, МНГ, МСХ, акимы Южно-Казахстанской, Кызылординской, Карагандинской и Алматинской  областей, г. Астана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содействия в создании и развитии кластеров, утвержденных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от 25 июня 2005 года № 633.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пищевого кластера.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достижения уровня развития и деятельности транспортного комплекса, адекватного требованиям экономики и населения Казахстана в перевозках и успешной конкуренции на мировых рынках транзитных перевозок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акимы областей, гг. Астана и Алматы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Углубление уровня и повышение комплексности переработки сельскохозяйственной продукции за счет модернизации производственных мощностей и увеличение объемов экспорта на внешние рынки сбыта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«Kaznex Invest»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предприятий текстильного кластера путем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развитию специальных экономических зон и стимулирования экспорта на 2010-2014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«NАDLoC»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Наполнение реестра товаров (работ, услуг), производимых казахстанскими производителями, новыми видами продукции машиностроения</w:t>
            </w:r>
          </w:p>
        </w:tc>
      </w:tr>
      <w:tr>
        <w:trPr>
          <w:trHeight w:val="30" w:hRule="atLeast"/>
        </w:trPr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 индикатору «Условия для развития продукта»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акимы областей, гг. Астана и Алматы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содействия в модернизации и создании новых предприятий обрабатывающей промышленности, в рамках инструментов поддержки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форсированному индустриально-инновационному развитию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МНГ, Акимы областей, гг. Астана и Алматы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Углубление уровня и повышение комплексности переработки продукции курируемых отраслей обрабатывающей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долгосрочных договоров по закупу лекарственных средств у отечественных производителей через Единого дистрибьютора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обеспечении квалифицированными кадрами, повышении квалификации работников</w:t>
            </w:r>
          </w:p>
        </w:tc>
      </w:tr>
      <w:tr>
        <w:trPr>
          <w:trHeight w:val="4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«КИРИ», АО «НАТР»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Реализация проектов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«Производительность 2020».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Рассмотрение на заседаниях Штаба координационного совета инвестиционных проектов для включения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индустриализации.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Мониторинг действующих инвестиционных проектов.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консультационной поддержки заявителям инвестиционных проектов по действующим мерам государственной поддержки.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Привлечение инвесторов для реализации «нишевых» проектов, ориентированных на выпуск продукции с высокой добавленной стоимостью.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Развитие горно-металлургического комплекса</w:t>
            </w:r>
          </w:p>
        </w:tc>
      </w:tr>
      <w:tr>
        <w:trPr>
          <w:trHeight w:val="30" w:hRule="atLeast"/>
        </w:trPr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производительности труда металлургической промышленности не менее чем на 15 % в реальном выражении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«НАТР»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производительности путем внедрения инновационных технологий в рамках направления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 и города Астана, АО «БРК», АО «Kegoc», АО «НАТР», АО «КИРИ»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действующих предприятий отрасли в целях снижения ресурсов и энергоемкости и внедрение современных управленческих технологий с целью повышения производительности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МТК, МФ, МТСЗН, МОН, МООС, МРР, АРЕМ, акиматы областей и городов Алматы и Астана и АО «ФНБ «Самрук-Казына», АО «НГРК «Тау-Кен Самрук», АО «КТЖ», АО «Kegoc», АО «БРК», ТПП, АО «ИФК», АО «КИРИ», АО «НАТР», АО «Kaznex Invest», АО «Nadloc».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отраслевой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развитию горно-металлургического комплекса в РК на 2010-2014 годы, утвержденной ППРК от 30.10.2010 г. № 1144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акиматы областей и городов Алматы и Астана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модернизации предприятий ГМК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</w:t>
            </w:r>
          </w:p>
        </w:tc>
      </w:tr>
      <w:tr>
        <w:trPr>
          <w:trHeight w:val="30" w:hRule="atLeast"/>
        </w:trPr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ИФО добычи металлических руд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«КТЖ»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подвижным составом предприятия ГМК.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Развитие транспортной инфраструктуры.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 АО «КТЖ»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вопроса утверждения временного понижающего коэффициента к тарифам магистральной железнодорожной сети при перевозке руды (внутри страны)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АО «КИРИ»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на ежемесячной основе объемов добычи металлических 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социальных напряжений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областей и города Астана, МТК, АО «КТЖ» АО «Kegoc», АО «КИРИ» 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отраслевых проектов необходимой инфраструктурой.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 и города Астана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и мониторинг инвестиционных проектов в рамках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индустриализации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 акиматы областей и города Астана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пониженных ставок НДПИ (налог на добычу полезных ископаемых) по низкорентабельным месторождениям для развития моногородов.</w:t>
            </w:r>
          </w:p>
        </w:tc>
      </w:tr>
      <w:tr>
        <w:trPr>
          <w:trHeight w:val="30" w:hRule="atLeast"/>
        </w:trPr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металлургической промышленности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КТЖ 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предприятий ГМК подвижным составом.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 и города Астана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действующих предприятий ГМК.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областей и города Астана, МТК, АО «КТЖ» АО «Kegoc», АО «КИРИ» 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отраслевых проектов необходимой инфраструктурой.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 и города Астана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и мониторинг инвестиционных проектов в рамках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индустриализации Казахстана.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АО «Kegoc»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электроэнергией.</w:t>
            </w:r>
          </w:p>
        </w:tc>
      </w:tr>
      <w:tr>
        <w:trPr>
          <w:trHeight w:val="30" w:hRule="atLeast"/>
        </w:trPr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готовых металлических изделий, кроме машин и оборудования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 и города Астана, АО «ФНБ «Самрук-Казына»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заключения долгосрочных договоров и контрактов с компаниями, входящими в состав АО «ФНБ «Самрук-Казына»;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закуп товаров у отечественных товаропроизводителей в рамках реализации программ;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содействие расширению сферы использования отечественной металлургической продукции на внутреннем рынке.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 и города Астана, АО «Kaznex»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привлечения инвесторов по нишевым проектам.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акиматы областей и города Астана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в программы вопроса закупа товаров, работ и услуг у отечественных товаропроизводителей.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 МТК, АО «КТЖ»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исключительных тарифов на услуги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Развитие машиностроительной отрасли Казахстана, включая сельхозмашиностроение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машиностроительной отрасли в структуре ВВП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машиностроительной отрасли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 и городов Алматы и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АО «ФНБ «Самрук-Казына» (по согласованию)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отраслевой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развитию машиностроения в РК на 2010-2014 годы.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статистических данных по ВДС в разрезе регионов.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закупок продукции у отечественных машиностроительных предприятий.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производительности труда в машиностроительной отрасли в полтора раза по сравнению с 2008 годом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«НАТР»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«КИРИ»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 центра по подготовке и переподготовке кадров для машиностроительной отрасли на 700 ученических мест в городе Усть-Каменогорске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Публикация статистических данных по производительности труда, в том числе в разрезе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конструкторских бюро по отрасли машиностроения, предоставление инновационных 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производств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«Производительность 2020»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2.1.3. Развитие стройиндустрии и строительных материалов</w:t>
            </w:r>
          </w:p>
        </w:tc>
      </w:tr>
      <w:tr>
        <w:trPr>
          <w:trHeight w:val="30" w:hRule="atLeast"/>
        </w:trPr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производства прочей неметаллической минеральной продукции в структуре ВВП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МФ, АО ФНБ «Самрук-Казына»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«Казахстанская ипотечная компания»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«ЖилСтройСберБанк» (по согласованию), АС, Акиматы областей, гг. Астаны и Алматы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Загрузка действующих и введенных проектов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индустриализации за счет средств, выделяемых акиматам для строительства жилых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информации по подписанным контрактам с отечественными товаропроизводителями;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информации по потребности строительных материалов в натуральном и денежном выражении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«Доступное жилье -  2020».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«Модернизация ЖКХ».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«Акбулак».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информации по плану мероприятий отраслевой программы стройиндустрии и производства строительных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ФНБ «Самрук-Казына»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«Казахстанская ипотечная компания»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«ЖилСтройСберБанк» (по согласованию)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информации по потребности в строительных материалах в натуральном и денежном выражении по объемам строительства, выполняемым структурными подразделениями фонда за счет бюджетных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Загрузка действующих и введенных проектов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индустриализации за счет средств, выделяемых АО «Фонд Недвижимости «Самрук-Казына» для строительства жилых объектов.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информации по разрабатываемой схеме застройки, площади застройки, виду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статистических данных по производству стройматериалов и деревообрабатывающей промышленности: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ВДС в разрезе регионов. Единица измерения - в тенге и процентной ставке.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 загруженности предприятий в разрезе по регионам и видам стройматериалов. Единица измерения - в процентной ставке.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 действующим предприятиям по категориям - крупные, средние и малые.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информации по подписанным контрактам с отечественными товаропроизводителями.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списка предприятий стройиндустрии, получивших поддержку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</w:t>
            </w:r>
          </w:p>
        </w:tc>
      </w:tr>
      <w:tr>
        <w:trPr>
          <w:trHeight w:val="30" w:hRule="atLeast"/>
        </w:trPr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отечественного производства строительных материалов до 60 %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НК «КТЖ»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информации по потребности в строительных материалах для строительства автомобильных и железных дорог в разрезе по регионам.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в натуральном выражении.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следующей информации: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 целевым показателям СП (по итогам года).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 развитию производства строительных материалов (ежеквартально);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Список предприятий, прошедших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 системообразующим проектам.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Потребность в кадрах и повышение квалификации.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 действующим и совместным предприятиям.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Потребность в строительных материалах для строительства жилья, авто и железных дорог.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Расчет потребности в строительных материалах и их сопоставление с действующими мощностями. Проведение встреч с предпринимателями в целях их подготовки к обеспечению строительными материалами государственных программ.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Представление информации по плану мероприятий отраслевой программы по развитию стройиндустрии и производства строительных материалов.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Представление информации по организации «нишевых» проектов строительства домостроительных комбинатов в рамках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«Доступное жилье 2020».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статистических данных по экспорту, импорту, производству и потреблению деревообрабатывающей промышленности и производству стройматериалов. Единица измерения в тенге и процентной ставке.</w:t>
            </w:r>
          </w:p>
        </w:tc>
      </w:tr>
      <w:tr>
        <w:trPr>
          <w:trHeight w:val="30" w:hRule="atLeast"/>
        </w:trPr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экспорта прочей неметаллической минеральной продукции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«KazNextInvest»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информации по реализации программы «Экспорт 2020».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следующей информации: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 целевым показателям СП (по итогам года).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 развитию производства строительных материалов и деревообрабатывающей промышленности (ежеквартально).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Список предприятий, прошедших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 системообразующим проектам.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Потребность в кадрах и повышении квалификации.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 действующим и совместным предприятиям.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производительности труда в производстве прочей неметаллической минеральной продукции в 1,5 раза по отношению к 2008 году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следующей информации: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 целевым показателям ПРТ (по итогам года).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 развитию производства строительных материалов и деревообрабатывающей промышленности (ежеквартально).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Список предприятий, прошедших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- 2020».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прочей неметаллической минеральной продукции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следующей информации: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 целевым показателям ПРТ (по итогам года).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 развитию производства строительных материалов и деревообрабатывающей промышленности (каждый квартал).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Список предприятий, прошедших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 системообразующим проектам.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Потребность в кадрах и повышении квалификации.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 действующим и совместным предприятиям.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Потребность в строительных материалах для строительства жилья, авто и железных дорог.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совещаний с предприятиями отрасли с целью определения потенциальных участников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«Производительность 2020».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предпринимателям информации о валовой потребности в строительных материалах по государственным программам, разъяснение условий организации финансирования на модернизацию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«Производительность 2020».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инвестиционных проектов с целью включения предприятий, подтвердивших готовность провести модернизацию в целях обеспечения строительными материалами реализации государственных программ.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Загрузка действующих и введенных проектов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индустриализации для строительства жилых объектов.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отечественных материалов строительными компаниями.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данных об объемах строительства и потребности в строительных материалах от застройщиков, выполняющих строительство за счет бюджетных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потребности в строительных материалах и их сопоставление с действующими мощностями. Проведение встреч с предпринимателями в целях их подготовки к обеспечению строительными материалами государственных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2.1.4. Развитие химической промышленности</w:t>
            </w:r>
          </w:p>
        </w:tc>
      </w:tr>
      <w:tr>
        <w:trPr>
          <w:trHeight w:val="30" w:hRule="atLeast"/>
        </w:trPr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химической промышленности в структуре ВВП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ассортимента субсидируемых минеральных удобрений и агрохимической продукции отечественного производства с вводом новых мощностей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Строительство профессионального лицея в г. Тараз.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Развитие технического и профессионального образования и подготовка кадров для химической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Осуществление мероприятий по организации производственной практики студентов химических специальностей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 (по согласованию)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вопроса привлечения инвесторов по нишевым проектам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за производственными показателями химических предприятий (акиматы) 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сырьем</w:t>
            </w:r>
          </w:p>
        </w:tc>
      </w:tr>
      <w:tr>
        <w:trPr>
          <w:trHeight w:val="30" w:hRule="atLeast"/>
        </w:trPr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производительности труда в химической отрасли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 (по согласованию)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вопроса привлечения инвесторов по нишевым проектам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за производственными показателями химических предприятий </w:t>
            </w:r>
          </w:p>
        </w:tc>
      </w:tr>
      <w:tr>
        <w:trPr>
          <w:trHeight w:val="30" w:hRule="atLeast"/>
        </w:trPr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резиновых и пластмассовых изделий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 (по согласованию)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вопроса привлечения инвесторов по нишевым проектам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за производственными показателями химических предприятий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производств пластмассовых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2.1.5. Развитие фармацевтической промышленности</w:t>
            </w:r>
          </w:p>
        </w:tc>
      </w:tr>
      <w:tr>
        <w:trPr>
          <w:trHeight w:val="765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отечественных лекарственных средств на внутреннем рынке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«СК-Фармация» 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закуп лекарственных средств и ИМН у отечественных производителей через Единого дистрибьютора 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производительности труда в фармацевтической промышленности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МБП, МТСЗН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Гармонизация законодательной базы по аналогии с европейским союзом по лекарственным средствам и взаимное признание регистрационных удостоверений в рамках ТС. </w:t>
            </w:r>
          </w:p>
        </w:tc>
      </w:tr>
      <w:tr>
        <w:trPr>
          <w:trHeight w:val="30" w:hRule="atLeast"/>
        </w:trPr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ИФО производства основных фармацевтических продуктов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«Казнекс Инвест» 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содействия в продвижении продукции за рубеж.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ассоциация «ФармМедИндустрия Казахстана» 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специалистов фармацевтических предприятий с привлечением зарубежных экспертов.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сертификата фармацевтическим предприятиям на фармацевтический продукт для международной торговли – СРР.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«Казнекс Инвест», АО «Самрук-Казына», ТОО «СК-Фармация») 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инвестиции в создание фармацевтических производств на территории Казахстана.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областей и городов 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инвестиционных проектов: АО «Химфарм», АО «Нобел» АФФ, ТОО «Глобал Фарм», ФК «Ромат»-2 проекта, ТОО «ПФЗ», ТОО «КФК», ТОО «Бирунифарм», ТОО «Медикал Фарм Чакур», ТОО «Досфарм», ТОО «Султан», ТОО «Элеас», ТОО «Велес Актобе», ТОО «ТК Фарм Актобе», ТОО «Медоптик».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2.1.6. Развитие легкой промышленности</w:t>
            </w:r>
          </w:p>
        </w:tc>
      </w:tr>
      <w:tr>
        <w:trPr>
          <w:trHeight w:val="30" w:hRule="atLeast"/>
        </w:trPr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производительности труда легкой промышленности в полтора раза по сравнению с 2008 годом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Астана, Алматы, АО «КИРИ», АО «НАТР»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производительности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«Производительность 2020».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акиматы областей, гг. Астана и Алматы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предприятий легкой промышленности в рамках бюджетной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– 2020».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Астана, Алматы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 мониторинг инвестиционных проектов в рамках Карты индустриализации Казахстана.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МРР, акимат ЮКО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 центра по подготовке и переподготовке кадров для обрабатывающей отрасли на 700 мест в городе Шымкент.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МОН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разработке профессиональных стандартов по приоритетным специальностям легкой промышленности.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акиматы областей, гг. Астана и Алматы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в ВУЗах и ТиПО обучение по востребованным на рынке специальностям для обувной, кожевенно-меховой, текстильной отраслей промышленности.</w:t>
            </w:r>
          </w:p>
        </w:tc>
      </w:tr>
      <w:tr>
        <w:trPr>
          <w:trHeight w:val="30" w:hRule="atLeast"/>
        </w:trPr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легкой промышленности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МЧС, МВД, РГ, КНБ, ТОО «Самрук-Казына Контракт», АО «NaDLoC»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местного содержания в закупках товаров легкой промышленности.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акиматы областей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увеличению загрузки производственных мощностей за счет налаживания поставок сырья, материалов и комплектующих между регионами.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Астана, Алматы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работу по развитию межрегиональной кооперации как внутри Казахстана, так и с регионами стран Единого экономического пространства.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2.2. Создание высокоэффективной и конкурентоспособной туристской индустрии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объема выполненных услуг по внутреннему туризму от деятельности туристских организаций и мест размещения в 2015 году на 28 % от уровня 2008 года (25 164,5 млн.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объема выполненных услуг по въездному туризму от деятельности туристских организаций и мест размещения в 2015 году на 20 % от уровня 2008 года (16 847,0 млн. тенге).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2.2.1. Формирование национального туристского продукта и его продвижение на международном и внутреннем рынках.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роста показателя «Увеличение услуг по проживанию и питанию»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Актюбинской, Алматинской, Жамбылской, Кызылординской, Южно-Казахстанской, МТК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строительстве объектов придорожной инфраструктуры.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объема въездного туризма в % от уровня 2010 года (4,7 млн. человек)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 туристского потенциала Казахстана на международных туристских выставках за рубежом.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участию в мероприятиях, проводимых Всемирной туристской организацией (ЮНВТО).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объема внутреннего туризма в % от уровня 2010 года (4,5 млн.чел.)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заинтересованные государственные органы 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 Казахстане пяти туристских кластеров Астана, Алматы, Восточный Казахстан, Южный Казахстан и Западный Казахстан будет способствовать росту внутреннего туризма.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 Обеспечение растущей потребности экономики в энергии.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 Развитие энергетического комплекса.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энергии из собственных источников, удовлетворяющее потребности экономики, к 2020 году составят 100%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Астана и Алматы, АО «ФНБ «Самрук-Казына» (по согласованию)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потребности населения и экономики страны в электроэнергии.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Развитие электроэнергетики и угольной промышленности.</w:t>
            </w:r>
          </w:p>
        </w:tc>
      </w:tr>
      <w:tr>
        <w:trPr>
          <w:trHeight w:val="30" w:hRule="atLeast"/>
        </w:trPr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выработки электроэнергии в 2014 году до 97,9 млрд. кВт (при прогнозном потреблении 96,8 млрд. кВт)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АО «ФНБ «Самрук-Казына» (по согласованию), акиматы областей, гг. Астана и Алматы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проектов в области электроэнергетики,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форсированному индустриально-инновационному развитию на 2010-2014 годы.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 АО «ФНБ «Самрук-Казына» (по согласованию), АО «KEGOC» (по согласованию)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и утверждение инвестиционных договоров энергопроизводящих организаций, работающих по расчетным и индивидуальным тарифам.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инвестиционных проектов субъектов естественной монополии в сфере электроэнергетики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строительства первой 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Балхашской ТЭС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МООС,МРР, АЗК, АО «ФНБ «Самрук-Казына», акимат Алматинской области, акимат Жамбылской области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начала строительства первого модуля Балхашской ТЭС мощностью 1320 МВт в 2012 году.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 2014 году: объем добычи угля до 120 млн. тонн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«КТЖ» (по согласованию)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бесперебойной перевозки угольной продукции на внутренний и внешний рынки сбыта.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 Развитие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объема вырабатываемой электроэнергии в 2014 году возобновляемыми источниками энергии - 1 млрд. кВт.ч в год.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МСХ, МТК, МООС, МЧС, МРР, АРЕМ.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и своевременное согласование нормативных правовых актов, затрагивающих вопросы возобновляемых источников энергии.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Астана и Алматы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проектов в области использования возобновляемых источников энергии мощностью до 25 МВт.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Резервирование и предоставление земельных участков для строительства объектов в области использования возобновляемых источников энергии.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4. Обеспечение экономики сырьевыми ресурсами.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4.1. Развитие геологии и недропользования.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4.1.2. Прирост запасов по основным видам полезных ископаемых.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Крупномасштабные площадные поисковые работы для обеспечения запланированных объемов прогнозных ресурсов золота, меди, полиметаллов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«НГК «Тау-Кен Самрук» (по согласованию)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государственно-частного партнерства по поисковым и поисково-оценочным работам.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Поисково-оценочные работы на твердые полезные ископаемые для обеспечения прироста запасов золота, меди, полиметаллов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«НГК «Тау-кен Самрук» (по согласованию)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государственно-частного партнерства по поисковым и поисково-оценочным работам.</w:t>
            </w:r>
          </w:p>
        </w:tc>
      </w:tr>
    </w:tbl>
    <w:bookmarkStart w:name="z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2013 года № 440  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7"/>
        <w:gridCol w:w="1339"/>
        <w:gridCol w:w="820"/>
        <w:gridCol w:w="820"/>
        <w:gridCol w:w="820"/>
        <w:gridCol w:w="841"/>
        <w:gridCol w:w="1021"/>
        <w:gridCol w:w="981"/>
        <w:gridCol w:w="821"/>
      </w:tblGrid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«Прикладные научные исследования технологического характера»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3 (трех) новых противоинфекционных препаратов для борьбы с бактериальными, вирусными, бактериально-вирусными (микст) инфекциями человека и животных и создание на базе Научного центра современного научно-производственного комплекса по доклиническим и клиническим испытаниям фармакологически активных препаратов для медицины и сельского хозяйства с опытным производством для отработки технологий фармацевтических субстанций и готовых лекарственных форм. Опытно-промышленные испытания получения ферросиликоаллюминия.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технологий комплексной переработки минерального и техногенного сырья Казахстана и извлечение ценных компонентов.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Опытно-промышленные и промышленные испытания новых технологий, оптимизация технологических процессов. Наработка опытных партий новых материалов и их сертификация.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наукоемких ядерных технологий, методов и систем, направленных на развитие и повышение безопасности и эффективности атомной энергетики </w:t>
            </w:r>
          </w:p>
        </w:tc>
      </w:tr>
      <w:tr>
        <w:trPr>
          <w:trHeight w:val="30" w:hRule="atLeast"/>
        </w:trPr>
        <w:tc>
          <w:tcPr>
            <w:tcW w:w="6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6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 нормативно - правовых документов в области атомной энергетики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химико-аналитических методик в области радиоэкологии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модернизация экспериментальных установок и устройств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методик, моделей, расчетных программ в области реакторного материаловедения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технологии производства нового топлива для АЭС на основе казахстанского сырья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ядерных и сопутствующих технологий по ядерной медицине, промышленных изотопов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геофизических технологий (методик) 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доклинических исследований РФП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клинических исследований РФП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и экспериментальные модели в области радиационного материаловедения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РФП 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 опытных тепловыделяющих сборок с низкообогащенным топливом для реактора ВВР-К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технологий получения новых материалов для физико-технических приложений в области ядерной физики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комплексных материаловедческих исследований 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Экспериментальные комплексы в области ядерной физики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для создания перспективных ядерно-энергетических установок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обработки данных, моделирования параметров испытаний и свойств материалов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Теоретические и экспериментальные модели процессов, происходящих в материалах при взаимодействии с плазмой 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систем диагностики плазмы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разработки в области термоядерной энергетики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 исследования свойств реакторных материалов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 по результатам взаимодействия тяжелых ионов с атомами и ядрами для разработки новых перспективных технологий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Нормативно-методическая база для развития перспективных научных экспериментов на ДЦ-60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доклинических исследований по 3 (трем) разрабатываемым лекарственным средствам ПА (потенциатор антибиотиков), ИФ (индуктор интерферонов) и ИМ (иммуномодулятор) по СТ РК 1613-2006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(ПА, ИФ и ИМ)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(ПА)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(ПА, ИФ,)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(ИФ, ИМ)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(ИФ, ИМ)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(ИФ, ИМ)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клинических испытаний разработанного фармакологического средства ФС-1 в соответствии с СТ РК 1616-2006 и международным стандартом GCP 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ФС-1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ФС-1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ФС-1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ФС-1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ФС-1, ПА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ФС-1, ПА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синтеза и скрининга химических соединений из класса интерполимерных соединений (ИПС)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ИПС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ИПС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ИПС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опытно-промышленных испытаний для получения ферросиликоалюминия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испытаний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технологии для переработки минерального и техногенного сырья Казахстана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горно-металлургической отрасли в Республике Казахстан на 2010 - 2014 годы 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технологий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опытно-промышленных испытаний новых технологий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горно-металлургической отрасли в Республике Казахстан на 2010 - 2014 годы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испытаний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публикаций в журналах по развитию атомной энергетики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аттестованных или внедренных технологий, методик в области атомной энергетики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технологических регламентов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патентов (заявок), полученных (поданных) в области атомной энергетики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научных основ для разработки исследовательских установок, методик и рекомендаций по их внедрению в области термоядерной энергетики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  разработки, методики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Комплексная технология очистки жидких радиоактивных отходов атомных реакторов от искусственных радионуклидов с использованием трековых мембран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Доклады на международных конференциях по материалам научно-технологических исследований на ускорителе ДЦ-60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патентов по противоинфекционному препарату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(ФС-1)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(ПА)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(ИФ)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технической, технологической и конструкторской документации горно-металлургической отрасли 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документации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технологических регламентов по производству ферросиликоалюминия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регламентов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патентов, полученных на объекты коммерциализации по проекту ферросиликоалюминия в разных странах 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патентов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технической документации по получению ферросиликоалюминия 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документации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опытных партий ферросиликоалюминия из сырья разных стран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образцов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ГОСТу 7.32-2001 «Отчет о научно-исследовательской работе» 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Проводимые научно-исследовательские работы в рамках Отраслевой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горно-металлургической отрасли в Республике Казахстан на 2010 - 2014 годы соответствуют ГОСТу 7.32-2001 «Отчет о научно-исследовательской работе» 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патентование - по проекту ферросиликоалюминия в разных странах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патентов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патентование – в области противоинфекционных препаратов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патентов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разработки наукоемких ядерных технологий, методов и систем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НИР и ОКР по разработке технологии переработки минерального и техногенного сырья, в том числе технологии получения ферросиликоалюминия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999 222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851 444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67 063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92 636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71 977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разработки 1(одного) противоинфекционного препарата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203 923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209 850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209 850</w:t>
            </w:r>
          </w:p>
        </w:tc>
      </w:tr>
      <w:tr>
        <w:trPr>
          <w:trHeight w:val="3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3 120 572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2 114 176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2 513 111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2 484 840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2 817 174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2 784 748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2 350 922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6"/>
        <w:gridCol w:w="1069"/>
        <w:gridCol w:w="907"/>
        <w:gridCol w:w="959"/>
        <w:gridCol w:w="890"/>
        <w:gridCol w:w="1093"/>
        <w:gridCol w:w="882"/>
        <w:gridCol w:w="1096"/>
        <w:gridCol w:w="884"/>
      </w:tblGrid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(034) «Консервация и ликвидация урановых рудников, захоронение техногенных отходов»</w:t>
            </w:r>
          </w:p>
        </w:tc>
      </w:tr>
      <w:tr>
        <w:trPr>
          <w:trHeight w:val="15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радиационной безопасности территории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 в безопасное состояние цехов Иртышского химико-металлургического завода и прилегающей к ним территории, обеспечение долговременного хранения отработавшего ядерного топлива реактора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БН-350 с выполнением требований безопасности и физической защиты</w:t>
            </w:r>
          </w:p>
        </w:tc>
      </w:tr>
      <w:tr>
        <w:trPr>
          <w:trHeight w:val="345" w:hRule="atLeast"/>
        </w:trPr>
        <w:tc>
          <w:tcPr>
            <w:tcW w:w="4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программа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программы: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сточных и грунтовых вод (количество проб)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площадки хранения контейнеров с РАО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рекультивации загрязненной территории ИХМЗ и п. Первомайский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рекультивации загрязненной территории п. Первомайский, вокруг него и загрязненной территории ИХМЗ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дополнительного радиационного обследования загрязненных территорий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Долговременное безопасное хранение и физическая защита отработавшего ядерного топлива (ОЯТ) реактора БН-350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контейнеры с ОЯТ, шт.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радиационно-опасной ситуации на Иртышском химико-металлургическом заводе. Консервация объектов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шт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стандартам ЕСКД, нормам радиационной безопасности, санитарным нормам и правилам, ПСД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ликвидации радиационно-опасной ситуации на территориях бывшего ИХМЗ, пунктах захоронения РАО и прилегающих к нему территориях, в том числе размещение на хранение жидких и твердых РАО в тоннах: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хранения 1 контейнера с отработавшим ядерным топливом реактора БН-350 на площадке комплекса исследовательских реакторов «Байкал-1» РГП НЯЦ РК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261 061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871298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120 535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5"/>
        <w:gridCol w:w="1496"/>
        <w:gridCol w:w="871"/>
        <w:gridCol w:w="911"/>
        <w:gridCol w:w="912"/>
        <w:gridCol w:w="883"/>
        <w:gridCol w:w="892"/>
        <w:gridCol w:w="1099"/>
        <w:gridCol w:w="887"/>
      </w:tblGrid>
      <w:tr>
        <w:trPr>
          <w:trHeight w:val="30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(038) «Обеспечение радиационной безопасности на территории Республики Казахстан»</w:t>
            </w:r>
          </w:p>
        </w:tc>
      </w:tr>
      <w:tr>
        <w:trPr>
          <w:trHeight w:val="30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радиационной безопасности</w:t>
            </w:r>
          </w:p>
        </w:tc>
      </w:tr>
      <w:tr>
        <w:trPr>
          <w:trHeight w:val="555" w:hRule="atLeast"/>
        </w:trPr>
        <w:tc>
          <w:tcPr>
            <w:tcW w:w="4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Мониторинг границ бывшего Семипалатинского испытательного ядерного полигона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(км)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(шт)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барьеры (км)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СИЧ (чел.)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безопасности ядерных и радиационно-опасных объектов и проведение мероприятий по поддержанию режима нераспространения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(пог.км)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штольня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комплекса мероприятий по подготовке ликвидации и консервации отходов ядерной оружейной деятельности, радиоактивных и токсичных отходов и по ремедиации (восстановлению) радиационно-загрязненных территорий испытательного ядерного полигона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исследований (кв.км)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ремедиации (кв.км)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 радиационно-опасных объектов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Оценка масштабов поствзрывных явлений и поэтапное формирование достоверных карт радиационной обстановки на территории бывшего Семипалатинского испытательного ядерного полигона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водопользования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мониторинговые  скважины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радионуклидного загрязнения подземных вод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анализа (шт.)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пятен загрязнения подземных вод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пятно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*Мониторинг радионуклидного загрязнения объектов окружающей среды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анализа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гамма-съемки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*Поддержание технического состояния базы мониторинга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 мониторинга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*Поддержание информационной базы мониторинга в актуальном состоянии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мониторинга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*Информирование населения и государственных органов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ежедневных операций по обслуживанию и контролю оборудования комплекса ядерно-физических установок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регламентных работ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оборудования систем комплекса ядерно-физических установок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исследованной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 (18 500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паспортизированных загрязненных объектов СИП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радиационной обстановки СИП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площади СИП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радионуклидного загрязнения подземных вод Азгир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радионуклидного загрязнения объектов окружающей среды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ядерной безопасности исследовательских реакторов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реакторы, шт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объектов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шт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соответствуют НРБ-99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санитарно-гигиеническим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обеспечению радиационной безопасности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обеспечение безопасности ядерных и радиационно-опасных объектов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1 375,3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1 165,1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7 124,7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825 168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932 055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901 098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598 475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2"/>
        <w:gridCol w:w="1495"/>
        <w:gridCol w:w="866"/>
        <w:gridCol w:w="914"/>
        <w:gridCol w:w="916"/>
        <w:gridCol w:w="884"/>
        <w:gridCol w:w="893"/>
        <w:gridCol w:w="1099"/>
        <w:gridCol w:w="887"/>
      </w:tblGrid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(044) «Мониторинг ядерных испытаний»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выполнения технических обязательств Республики Казахстан по международным договорам и соглашениям о контроле за ядерными испытаниями и землетрясениями национальной сетью станций, Центром данных, системой коммуникаций. Обеспечение надежного хранения и обмен информацией о ядерных взрывах и землетрясениях</w:t>
            </w:r>
          </w:p>
        </w:tc>
      </w:tr>
      <w:tr>
        <w:trPr>
          <w:trHeight w:val="30" w:hRule="atLeast"/>
        </w:trPr>
        <w:tc>
          <w:tcPr>
            <w:tcW w:w="4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измерительно-коммуникационного комплекса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вспомогательный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Мероприятие 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обслуживаемых станций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обслуживаемых центров данных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обслуживаемых систем коммуникаций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Мероприятие 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Получаемый объем данных мониторинга (не менее)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форматам сейсмических записей и созданной базе данных - в соответствии с требованиями, разработанными подготовительной комиссией Организации по Договору о всеобъемлющем запрещении ядерных испытаний (СТВТО) для станций, Центра данных, коммуникационной системы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мониторинг ядерных испытаний в месяц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5 666,7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11 362,7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10 445,4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136 352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125 345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63 731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7"/>
        <w:gridCol w:w="1451"/>
        <w:gridCol w:w="1016"/>
        <w:gridCol w:w="1016"/>
        <w:gridCol w:w="1162"/>
        <w:gridCol w:w="871"/>
        <w:gridCol w:w="1016"/>
        <w:gridCol w:w="1162"/>
        <w:gridCol w:w="1598"/>
      </w:tblGrid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(047) «Создание Центра ядерной медицины и биофизики»</w:t>
            </w:r>
          </w:p>
        </w:tc>
      </w:tr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 промышленного производства радиофармпрепаратов, создания и освоения новых методик диагностики и терапии, проведения научных исследований для создания новых продуктов ядерной медицины</w:t>
            </w:r>
          </w:p>
        </w:tc>
      </w:tr>
      <w:tr>
        <w:trPr>
          <w:trHeight w:val="30" w:hRule="atLeast"/>
        </w:trPr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объектов производственного комплекса центра ядерной медицины и биофизики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 в эксплуатацию производственный комплекс Центра ядерной медицины и биофизики для организации промышленного производства радиофармпрепаратов и стерилизации изделий медицинского назначения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радиофармпрепаратов соответствует требованиям МЗ РК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367 936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2"/>
        <w:gridCol w:w="1465"/>
        <w:gridCol w:w="1006"/>
        <w:gridCol w:w="1333"/>
        <w:gridCol w:w="1435"/>
        <w:gridCol w:w="885"/>
        <w:gridCol w:w="1006"/>
        <w:gridCol w:w="1008"/>
        <w:gridCol w:w="790"/>
      </w:tblGrid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 «Увеличение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экономики»</w:t>
            </w:r>
          </w:p>
        </w:tc>
      </w:tr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с последующим увеличением уставного капитала: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«КЕГОК» для реализации проекта «Реконструкция ВЛ 220 кВ ЦГПП–Осакаровка»;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«Самрук-Энерго» для реализации проектов: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 Балхашской ТЭС», «Строительство подстанции «Кенсай», «Строительство подстанции ПС 110/10кВ №3А «Новая», «Строительство подстанции ПС 110/10-10кВ «Мамыр», «Строительство подстанции ПС-110/10 «Алтай», «Комбинированная система золошлакоудаления АлЭС ТЭЦ-1», «Реконструкция и расширение золоотвала ТЭЦ-3, 2-этап строительства», «Реконструкция и расширение Алматинской ТЭЦ-2 АО «АлЭС». III очередь. Бойлерная»;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«Қазақстан темір жолы» для реализации проектов «Строительство ЖД Хоргос-Жетыген», «Строительство ЖД Узень - граница Туркменистана»;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«НК «Казмунайгаз» для реализации проекта «Строительство газопровода Бейнеу-Бозой-Акбулак»</w:t>
            </w:r>
          </w:p>
        </w:tc>
      </w:tr>
      <w:tr>
        <w:trPr>
          <w:trHeight w:val="30" w:hRule="atLeast"/>
        </w:trPr>
        <w:tc>
          <w:tcPr>
            <w:tcW w:w="5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5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программы: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Увеличение уставного капитала АО «Фонд национального благосостояния «Самрук-Казына»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эффективной реализации прорывного проекта в атомной отрасли, государственной жилищной программы, также низкорентабельных проектов с учетом процентов путем капитализации дочерних компаний АО «Фонд национального благосостояния «Самрук-Казына» в рамках предусмотренных в республиканском бюджете средств (кол-во дочерних предприятий, у которых увеличены уставные капиталы)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подстанции ПС 110/10кВ № 3А «Новая»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подстанции ПС 110/10-10кВ «Мамыр»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подстанции ПС-110/10 «Алтай»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Балхашской ТЭС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 проекта 2010-2015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обеспечит покрытие дефицита электроэнергии в южном регионе, который составляет 6,86 млрд.кВтч в год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подстанции «Кенсай»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трансформаторной мощности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МВА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Комбинированная система золошлакоудаления АлЭС ТЭЦ-1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возможности дальнейшей эксплуатации станции с сохранением объемов отпуска в год: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электрической энергии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млн.кВтч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тепловой энергии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млн.Гкал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 золоотвала ТЭЦ-3, 2-этап строительства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возможности дальнейшей эксплуатации станции с сохранением объемов отпуска в год: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электрической энергии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млн.кВтч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тепловой энергии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млн.Гкал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 Алматинской ТЭЦ-2 АО «АлЭС». III очередь. Бойлерная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отпускаемой тепловой энергии в год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ЖД Хоргос-Жетыген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железной дороги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Сокращение расстояния от Китая до южных регионов Казахстана и стран Центральной Азии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ЖД Узень – Государственная граница с Туркменистаном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железной дороги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новых раздельных пунктов на участке Узень (государственная граница с Туркменистаном)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расстояния железнодорожной линии между Казахстаном и Ираном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 Бейнеу-Бозой-Акбулак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компрессорных станций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населенных пунктов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рабочих мест на период эксплуатации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ВЛ 220 кВ ЦГПП–Осакаровка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трансформаторной мощности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МВА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реализуемых проектов путем капитализации АО «Фонд национального благосостояния «Самрук-Казына» в рамках предусмотренных в Республиканском бюджете средств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сумма выделяемых бюджетных средств на 1 проект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9 996 276,2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12 070 976,75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139 947 867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144 851 721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2"/>
        <w:gridCol w:w="1287"/>
        <w:gridCol w:w="883"/>
        <w:gridCol w:w="1113"/>
        <w:gridCol w:w="1155"/>
        <w:gridCol w:w="842"/>
        <w:gridCol w:w="885"/>
        <w:gridCol w:w="889"/>
        <w:gridCol w:w="890"/>
      </w:tblGrid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 «Кредитование АО «Фонд национального благосостояния «Самрук-Казына» для обеспечения конкурентоспособности и устойчивости национальной экономики»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бюджетного кредита АО «Фонд национального благосостояния «Самрук-Казына» для последующего кредитования: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«КТЖ» для приобретения пассажирских вагонов;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«Досжан темир жолы (ДТЖ)» для реализации проекта «Строительство ЖД Шар-Усть-Каменогорск», АО «БРК-Лизинг», АО «Казэкспогарант»</w:t>
            </w:r>
          </w:p>
        </w:tc>
      </w:tr>
      <w:tr>
        <w:trPr>
          <w:trHeight w:val="30" w:hRule="atLeast"/>
        </w:trPr>
        <w:tc>
          <w:tcPr>
            <w:tcW w:w="4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4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программы: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бюджетного кредита АО «Фонд национального благосостояния «Самрук-Казына»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кредита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«Самрук-Казына»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новыми пассажирскими вагонами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утвержденным требованиям разработки ТЭО по проекту «Строительство ЖД Шар-Усть-Каменогорск»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локомотивов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основных средств за счет финансирования АО «БРК-Лизинг»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конечных заемщиков, получивших кредит от АО «Фонд национального благосостояния «Самрук-Казына»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сумма предоставленных кредитов на 1 проект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9 401 500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11 650 000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18 803 000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46 600 000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4"/>
        <w:gridCol w:w="1126"/>
        <w:gridCol w:w="772"/>
        <w:gridCol w:w="882"/>
        <w:gridCol w:w="919"/>
        <w:gridCol w:w="1140"/>
        <w:gridCol w:w="956"/>
        <w:gridCol w:w="970"/>
        <w:gridCol w:w="957"/>
      </w:tblGrid>
      <w:tr>
        <w:trPr>
          <w:trHeight w:val="465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Развитие инфраструктуры специальной экономической зоны «Парк инновационных технологий»</w:t>
            </w:r>
          </w:p>
        </w:tc>
      </w:tr>
      <w:tr>
        <w:trPr>
          <w:trHeight w:val="465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«Парк инновационных технологий</w:t>
            </w:r>
          </w:p>
        </w:tc>
      </w:tr>
      <w:tr>
        <w:trPr>
          <w:trHeight w:val="450" w:hRule="atLeast"/>
        </w:trPr>
        <w:tc>
          <w:tcPr>
            <w:tcW w:w="5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465" w:hRule="atLeast"/>
        </w:trPr>
        <w:tc>
          <w:tcPr>
            <w:tcW w:w="5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25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Разработанное ПСД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подготовительных работ к началу строительства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земельных работ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Прокладка трубопроводов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здания, пожарного депо и КПП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начала строительства 2-ой очереди СЭЗ ПИТ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коммуникации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25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Положительное заключение РГП «Государственная вневедомственная экспертиза проектов»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строительной площадки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Законченное строительство административного здания, пожарного депо и КПП с положительным актом государственной приемочной комиссии о сдаче в эксплуатацию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Законченные работы по благоустройству согласно генеральному плану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3 237 500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7 342 043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