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d296d" w14:textId="e1d29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8 февраля 2011 года № 94 "О Стратегическом плане Министерства финансов Республики Казахстан на 2011-2015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апреля 2013 года № 439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февраля 2011 года № 94 «О Стратегическом плане Министерства финансов Республики Казахстан на 2011 – 2015 годы» (САПП Республики Казахстан, 2011 г., № 18, ст. 211)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Стратегическом 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Министерства финансов Республики Казахстан на 2011 – 2015 годы,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раздел 1</w:t>
      </w:r>
      <w:r>
        <w:rPr>
          <w:rFonts w:ascii="Times New Roman"/>
          <w:b w:val="false"/>
          <w:i w:val="false"/>
          <w:color w:val="000000"/>
          <w:sz w:val="28"/>
        </w:rPr>
        <w:t xml:space="preserve"> «Миссия и видение»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«Миссия. Обеспечение эффективного исполнения бюджета в целях содействия экономическому росту и достижения высокой конкурентоспособности экономики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Видение. Эффективно функционирующая система исполнения бюджета, классифицируемая мировым финансовым сообществом как одна из наиболее развитых, устойчивых и прогрессивно эволюционирующих финансовых систем»;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2</w:t>
      </w:r>
      <w:r>
        <w:rPr>
          <w:rFonts w:ascii="Times New Roman"/>
          <w:b w:val="false"/>
          <w:i w:val="false"/>
          <w:color w:val="000000"/>
          <w:sz w:val="28"/>
        </w:rPr>
        <w:t xml:space="preserve"> «Анализ текущей ситуации и тенденции развития соответствующих отраслей (сфер) деятельности»: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«Стратегическое направление 1. «Совершенствование бюджета, ориентированного на результат»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«Стратегическое направление 1. Обеспечение исполнения республиканского бюджета»;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3</w:t>
      </w:r>
      <w:r>
        <w:rPr>
          <w:rFonts w:ascii="Times New Roman"/>
          <w:b w:val="false"/>
          <w:i w:val="false"/>
          <w:color w:val="000000"/>
          <w:sz w:val="28"/>
        </w:rPr>
        <w:t xml:space="preserve"> «Стратегические направления, цели, задачи, целевые индикаторы, мероприятия и показатели результатов»: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 3.1</w:t>
      </w:r>
      <w:r>
        <w:rPr>
          <w:rFonts w:ascii="Times New Roman"/>
          <w:b w:val="false"/>
          <w:i w:val="false"/>
          <w:color w:val="000000"/>
          <w:sz w:val="28"/>
        </w:rPr>
        <w:t xml:space="preserve"> «Стратегические направления, цели, задачи, целевые индикаторы, мероприятия и показатели результатов»: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«Стратегическое направление 1. «Совершенствование бюджета, ориентированного на результат»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«Стратегическое направление 1. Обеспечение исполнения республиканского бюджета»: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цель 1.1</w:t>
      </w:r>
      <w:r>
        <w:rPr>
          <w:rFonts w:ascii="Times New Roman"/>
          <w:b w:val="false"/>
          <w:i w:val="false"/>
          <w:color w:val="000000"/>
          <w:sz w:val="28"/>
        </w:rPr>
        <w:t xml:space="preserve"> «Повышение качества планирования бюджета»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цели 1.2</w:t>
      </w:r>
      <w:r>
        <w:rPr>
          <w:rFonts w:ascii="Times New Roman"/>
          <w:b w:val="false"/>
          <w:i w:val="false"/>
          <w:color w:val="000000"/>
          <w:sz w:val="28"/>
        </w:rPr>
        <w:t xml:space="preserve"> «Повышение качества исполнения бюджета, эффективности расходов и финансовой дисциплины, а также удержание государственного долга на безопасном уровне»: цифры «1.2» заменить цифрами «1.1»;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89"/>
        <w:gridCol w:w="1530"/>
        <w:gridCol w:w="1397"/>
        <w:gridCol w:w="505"/>
        <w:gridCol w:w="505"/>
        <w:gridCol w:w="728"/>
        <w:gridCol w:w="728"/>
        <w:gridCol w:w="505"/>
        <w:gridCol w:w="505"/>
        <w:gridCol w:w="528"/>
      </w:tblGrid>
      <w:tr>
        <w:trPr>
          <w:trHeight w:val="30" w:hRule="atLeast"/>
        </w:trPr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Индикатор Глобального индекса конкурентоспособности «Расточительность в государственных расходах»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 ГИК ВЭФ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Позиция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»,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46"/>
        <w:gridCol w:w="1537"/>
        <w:gridCol w:w="493"/>
        <w:gridCol w:w="297"/>
        <w:gridCol w:w="710"/>
        <w:gridCol w:w="493"/>
        <w:gridCol w:w="711"/>
        <w:gridCol w:w="711"/>
        <w:gridCol w:w="711"/>
        <w:gridCol w:w="711"/>
      </w:tblGrid>
      <w:tr>
        <w:trPr>
          <w:trHeight w:val="30" w:hRule="atLeast"/>
        </w:trPr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Соотношение достижения прямых результатов бюджетных программ к освоению бюджетных средств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 данные МФ РК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</w:tbl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задаче 1.2.1 «Обеспечение исполнения республиканского бюджета, доведение активов Национального фонда к 2020 году до уровня не менее 30 % ВВП» цифры «1.2.1» заменить цифрами «1.1.1»;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7"/>
        <w:gridCol w:w="2150"/>
        <w:gridCol w:w="493"/>
        <w:gridCol w:w="297"/>
        <w:gridCol w:w="494"/>
        <w:gridCol w:w="297"/>
        <w:gridCol w:w="494"/>
        <w:gridCol w:w="712"/>
        <w:gridCol w:w="713"/>
        <w:gridCol w:w="713"/>
      </w:tblGrid>
      <w:tr>
        <w:trPr>
          <w:trHeight w:val="30" w:hRule="atLeast"/>
        </w:trPr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проведения мониторинга реализации бюджетных инвестиций посредством участия государства в уставном капитале юридических лиц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 данные администраторов бюджетных программ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18"/>
        <w:gridCol w:w="834"/>
        <w:gridCol w:w="982"/>
        <w:gridCol w:w="834"/>
        <w:gridCol w:w="856"/>
        <w:gridCol w:w="836"/>
      </w:tblGrid>
      <w:tr>
        <w:trPr>
          <w:trHeight w:val="645" w:hRule="atLeast"/>
        </w:trPr>
        <w:tc>
          <w:tcPr>
            <w:tcW w:w="8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данных и подготовка отчета по мониторингу реализации бюджетных инвестиций посредством участия государства в уставном капитале юридических лиц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</w:tbl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«Мероприятия для достижения показателей прямых результатов» 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27"/>
        <w:gridCol w:w="835"/>
        <w:gridCol w:w="983"/>
        <w:gridCol w:w="835"/>
        <w:gridCol w:w="857"/>
        <w:gridCol w:w="963"/>
      </w:tblGrid>
      <w:tr>
        <w:trPr>
          <w:trHeight w:val="645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исполнения расходов республиканского бюджета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645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ежемесячных аналитических отчетов об исполнении расходной части республиканского бюджета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645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Прогнозирование ожидаемого исполнения расходной части республиканского и местных бюджетов, начиная с итогов девяти месяцев текущего финансового года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645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предложений по результатам аналитических отчетов об исполнении расходов республиканского бюджета, результатах мониторинга реализации целевых текущих трансфертов, целевых трансфертов на развитие и кредитов, выделенных из республиканского бюджета, для учета уполномоченным органом по бюджетному планированию при разработке и уточнении республиканского бюджета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</w:tbl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задаче 1.2.2 «Повышение качества казначейского обслуживания исполнения бюджетов и счетов государственных учреждений» цифры «1.2.2» заменить цифрами «1.1.2»;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задаче 1.2.3 «Повышение конкурентоспособности в сфере бухгалтерского учета и финансовой отчетности, аудита» цифры «1.2.3» заменить цифрами «1.1.3»;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задаче 1.2.4 «Создание условий для бизнес-среды» изложить в следующей редакции цифры «1.2.4» заменить цифрами «1.1.4»;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«Цели 1.3. Повышение эффективности процесса государственных закупок»: цифры «1.3» заменить цифрами «1.2»;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задаче 1.3.1 «Повышение эффективности и прозрачности системы государственных закупок» цифры «1.3.1» заменить цифрами «1.2.1»;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цели 1.4 «Создание интегрированной автоматизированной информационной системы «е-Минфин» цифры «1.4» заменить цифрами «1.3»;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задаче 1.4.1 «Автоматизация бизнес-процессов по исполнению Министерством финансов и его структурными подразделениями государственных функций и предоставлению государственных услуг» цифры «1.4.1» заменить цифрами «1.3.1»;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стратегическом направлении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«Совершенствование налоговой и таможенной систем»: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цели 2.1</w:t>
      </w:r>
      <w:r>
        <w:rPr>
          <w:rFonts w:ascii="Times New Roman"/>
          <w:b w:val="false"/>
          <w:i w:val="false"/>
          <w:color w:val="000000"/>
          <w:sz w:val="28"/>
        </w:rPr>
        <w:t xml:space="preserve"> «Улучшение налогового администрирования»: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задаче 2.1.1 «Обеспечение полноты поступлений налогов»: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«Мероприятия для достижения показателей прямых результатов» 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15"/>
        <w:gridCol w:w="687"/>
        <w:gridCol w:w="687"/>
        <w:gridCol w:w="687"/>
        <w:gridCol w:w="476"/>
        <w:gridCol w:w="688"/>
      </w:tblGrid>
      <w:tr>
        <w:trPr>
          <w:trHeight w:val="645" w:hRule="atLeast"/>
        </w:trPr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Выработка предложений по совершенствованию процесса обжалования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645" w:hRule="atLeast"/>
        </w:trPr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Реинжиниринг бизнес-процессов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2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задаче 2.1.2 «Повышение качества предоставляемых налоговых услуг»: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«Мероприятия для достижения показателей прямых результатов»: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45"/>
        <w:gridCol w:w="837"/>
        <w:gridCol w:w="964"/>
        <w:gridCol w:w="837"/>
        <w:gridCol w:w="859"/>
        <w:gridCol w:w="838"/>
      </w:tblGrid>
      <w:tr>
        <w:trPr>
          <w:trHeight w:val="30" w:hRule="atLeast"/>
        </w:trPr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внедрение стандартов и регламентов государственных услуг, оказываемых органам налоговой службы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2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29"/>
        <w:gridCol w:w="835"/>
        <w:gridCol w:w="983"/>
        <w:gridCol w:w="836"/>
        <w:gridCol w:w="857"/>
        <w:gridCol w:w="900"/>
      </w:tblGrid>
      <w:tr>
        <w:trPr>
          <w:trHeight w:val="30" w:hRule="atLeast"/>
        </w:trPr>
        <w:tc>
          <w:tcPr>
            <w:tcW w:w="8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внедрение стандартов и регламентов государственных услуг, оказываемых органами налоговой службы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2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цели</w:t>
      </w:r>
      <w:r>
        <w:rPr>
          <w:rFonts w:ascii="Times New Roman"/>
          <w:b w:val="false"/>
          <w:i w:val="false"/>
          <w:color w:val="000000"/>
          <w:sz w:val="28"/>
        </w:rPr>
        <w:t xml:space="preserve"> «2.2. Улучшение таможенного администрирования»: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задаче «2.2.2. Повышение качества предоставляемых таможенных услуг»: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«Мероприятия для достижения показателей прямых результатов»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29"/>
        <w:gridCol w:w="835"/>
        <w:gridCol w:w="983"/>
        <w:gridCol w:w="836"/>
        <w:gridCol w:w="857"/>
        <w:gridCol w:w="900"/>
      </w:tblGrid>
      <w:tr>
        <w:trPr>
          <w:trHeight w:val="30" w:hRule="atLeast"/>
        </w:trPr>
        <w:tc>
          <w:tcPr>
            <w:tcW w:w="8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внедрение стандартов и регламентов государственных услуг, оказываемых органами таможенной службы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3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стратегическом направлении 4</w:t>
      </w:r>
      <w:r>
        <w:rPr>
          <w:rFonts w:ascii="Times New Roman"/>
          <w:b w:val="false"/>
          <w:i w:val="false"/>
          <w:color w:val="000000"/>
          <w:sz w:val="28"/>
        </w:rPr>
        <w:t>. «Повышение эффективности системы управления республиканской государственной собственностью и собственностью в отраслях экономики, имеющих стратегическое значение»: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цели 4.1</w:t>
      </w:r>
      <w:r>
        <w:rPr>
          <w:rFonts w:ascii="Times New Roman"/>
          <w:b w:val="false"/>
          <w:i w:val="false"/>
          <w:color w:val="000000"/>
          <w:sz w:val="28"/>
        </w:rPr>
        <w:t xml:space="preserve"> «Совершенствование управления государственной собственностью и собственностью в отраслях экономики, имеющих стратегическое значение»: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6"/>
        <w:gridCol w:w="1738"/>
        <w:gridCol w:w="494"/>
        <w:gridCol w:w="712"/>
        <w:gridCol w:w="494"/>
        <w:gridCol w:w="713"/>
        <w:gridCol w:w="713"/>
        <w:gridCol w:w="757"/>
        <w:gridCol w:w="669"/>
        <w:gridCol w:w="714"/>
      </w:tblGrid>
      <w:tr>
        <w:trPr>
          <w:trHeight w:val="420" w:hRule="atLeast"/>
        </w:trPr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предприятий, находящихся в зоне риска от общего количества предприятий (повышение эффективности управления государственной собственностью и собственностью в отраслях экономики, имеющих стратегическое значение)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управления рисками объектов собственности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</w:tbl>
    <w:bookmarkStart w:name="z3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01"/>
        <w:gridCol w:w="2159"/>
        <w:gridCol w:w="495"/>
        <w:gridCol w:w="495"/>
        <w:gridCol w:w="714"/>
        <w:gridCol w:w="714"/>
        <w:gridCol w:w="496"/>
        <w:gridCol w:w="715"/>
        <w:gridCol w:w="715"/>
        <w:gridCol w:w="716"/>
      </w:tblGrid>
      <w:tr>
        <w:trPr>
          <w:trHeight w:val="420" w:hRule="atLeast"/>
        </w:trPr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 принятых рекомендаций объектами мониторинга и электронных аукционов от общего их количества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финхоздеятельности организаций с госучастием, отчеты консалтинговых фирм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55,6</w:t>
            </w:r>
          </w:p>
        </w:tc>
      </w:tr>
    </w:tbl>
    <w:bookmarkStart w:name="z3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задачу 4.1.1 «Обеспечение эффективности процессов управления республиканской государственной собственностью и собственностью в отраслях экономики, имеющих стратегическое значение» 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40"/>
        <w:gridCol w:w="1935"/>
        <w:gridCol w:w="712"/>
        <w:gridCol w:w="494"/>
        <w:gridCol w:w="494"/>
        <w:gridCol w:w="713"/>
        <w:gridCol w:w="713"/>
        <w:gridCol w:w="713"/>
        <w:gridCol w:w="713"/>
        <w:gridCol w:w="713"/>
      </w:tblGrid>
      <w:tr>
        <w:trPr>
          <w:trHeight w:val="420" w:hRule="atLeast"/>
        </w:trPr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доли электронных аукционов в общем объеме проводимых аукционов по продаже объектов республиканской собственности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 данные АО «ИУЦ»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«Мероприятия для достижения показателей прямых результатов»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02"/>
        <w:gridCol w:w="876"/>
        <w:gridCol w:w="1087"/>
        <w:gridCol w:w="1087"/>
        <w:gridCol w:w="877"/>
        <w:gridCol w:w="1131"/>
      </w:tblGrid>
      <w:tr>
        <w:trPr>
          <w:trHeight w:val="30" w:hRule="atLeast"/>
        </w:trPr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 пилотном режиме электронных аукционов по продаже объектов приватизации республиканской собственности в 3 территориальных подразделениях КГИП (гг. Астана, Алматы, Карагандинская обл.) после принятия решения Правительства Республики Казахстан, предусматривающего продажу объектов приватизации на электронных аукционах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</w:tbl>
    <w:bookmarkStart w:name="z3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5</w:t>
      </w:r>
      <w:r>
        <w:rPr>
          <w:rFonts w:ascii="Times New Roman"/>
          <w:b w:val="false"/>
          <w:i w:val="false"/>
          <w:color w:val="000000"/>
          <w:sz w:val="28"/>
        </w:rPr>
        <w:t xml:space="preserve"> «Межведомственное взаимодействие»: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13"/>
        <w:gridCol w:w="3374"/>
        <w:gridCol w:w="4153"/>
      </w:tblGrid>
      <w:tr>
        <w:trPr>
          <w:trHeight w:val="30" w:hRule="atLeast"/>
        </w:trPr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рейтинга соответствия Республики Казахстан Международным стандартам по противодействию отмыванию денег, финансированию терроризма и финансированию распространения оружия массового уничтожения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ГП, КНБ, АБЭКП, МВД, ВС, НБ, АСФК, МЭРТ, МЮ, МТК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законодательства и институциональных мер в сфере противодействия легализации (отмывания) доходов, полученных незаконным путем, и финансированию терроризма</w:t>
            </w:r>
          </w:p>
        </w:tc>
      </w:tr>
    </w:tbl>
    <w:bookmarkStart w:name="z3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13"/>
        <w:gridCol w:w="3374"/>
        <w:gridCol w:w="4153"/>
      </w:tblGrid>
      <w:tr>
        <w:trPr>
          <w:trHeight w:val="30" w:hRule="atLeast"/>
        </w:trPr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рейтинга соответствия Республики Казахстан Международным стандартам по противодействию отмыванию денег, финансированию терроризма и финансированию распространения оружия массового уничтожения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ГП, КНБ, АБЭКП, МВД, ВС, НБ, АСФК, МЭБП, МЮ, МТК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законодательства и институциональных мер в сфере противодействия легализации (отмывания) доходов, полученных незаконным путем, и финансированию терроризма</w:t>
            </w:r>
          </w:p>
        </w:tc>
      </w:tr>
    </w:tbl>
    <w:bookmarkStart w:name="z3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6</w:t>
      </w:r>
      <w:r>
        <w:rPr>
          <w:rFonts w:ascii="Times New Roman"/>
          <w:b w:val="false"/>
          <w:i w:val="false"/>
          <w:color w:val="000000"/>
          <w:sz w:val="28"/>
        </w:rPr>
        <w:t xml:space="preserve"> «Управление рисками»: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«Внешние риски»: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61"/>
        <w:gridCol w:w="4734"/>
        <w:gridCol w:w="4345"/>
      </w:tblGrid>
      <w:tr>
        <w:trPr>
          <w:trHeight w:val="30" w:hRule="atLeast"/>
        </w:trPr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Рост бюджетной зависимости регионов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Полная (хроническая) зависимость бюджета развития и текущих расходов регионов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республиканского бюджета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принятие действенных мер по стимулированию роста ВРП;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увеличение доли собственных доходов в бюджетах регионов</w:t>
            </w:r>
          </w:p>
        </w:tc>
      </w:tr>
      <w:tr>
        <w:trPr>
          <w:trHeight w:val="30" w:hRule="atLeast"/>
        </w:trPr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 АРБП контрактов с поставщиками услуг (работ) с нарушением процедур, установленных НПА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сроков согласования заявок на снятие средств внешних займов, связанных грантов и софинансирования и неосвоение запланированных сумм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консультаций с соответствующими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работниками АРБП</w:t>
            </w:r>
          </w:p>
        </w:tc>
      </w:tr>
      <w:tr>
        <w:trPr>
          <w:trHeight w:val="30" w:hRule="atLeast"/>
        </w:trPr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четкого взаимодействия пилотных администраторов республиканских бюджетных программ с уполномоченным органом по бюджетному планированию по переходу к усовершенствованному бюджету, ориентированному на результат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Срыв пилотными администраторами республиканских бюджетных программ сроков по переходу к усовершенствованному бюджету, ориентированному на результат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Согласование с пилотными администраторами республиканских бюджетных программ процесса перехода к усовершенствованному бюджету, ориентированному на результат,  своевременное доведение до пилотных администраторов республиканских бюджетных программ нормативных правовых актов, направленных на совершенствование бюджета, ориентированного на результат</w:t>
            </w:r>
          </w:p>
        </w:tc>
      </w:tr>
    </w:tbl>
    <w:bookmarkStart w:name="z4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7</w:t>
      </w:r>
      <w:r>
        <w:rPr>
          <w:rFonts w:ascii="Times New Roman"/>
          <w:b w:val="false"/>
          <w:i w:val="false"/>
          <w:color w:val="000000"/>
          <w:sz w:val="28"/>
        </w:rPr>
        <w:t xml:space="preserve"> «Бюджетные программы»: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подразделе 7.1 «Бюджетные программы»: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001 «Услуги по обеспечению бюджетного планирования, исполнения и контроля за исполнением государственного бюджета»: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слова «бюджетного планирования»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описании слова «Бюджетное планирование»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«2013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прямого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«Содержание штатной численности центрального аппарата Министерства финансов Республики Казахстан, комитетов и территориальных органов» цифры «20 265» заменить цифрами «20 159»;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«Обеспечение функционирования информационных систем» цифры «43» заменить цифрами «41»;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 цифры «52 570 192» заменить цифрами «52 122 784»;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008 «Проведение мониторинга бюджетных инвестиционных проектов»: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«2013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прямого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«Обеспечение проведения мониторинга бюджетных инвестиционных проектов» цифры «100»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конечного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«Отчет о проведении мониторинга бюджетных инвестиционных проектов» цифру «2»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 цифры «58 863» заменить цифрой «0»;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021 «Капитальные расходы Министерства финансов Республики Казахстан»: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«2013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 цифры «1 751 716» заменить цифрами «1 747 572»;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060 «Проведение мониторинга реализации бюджетных инвестиций посредством участия государства в уставном капитале юридических»: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«2013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прямого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«Обеспечение проведения мониторинга реализации бюджетных инвестиций посредством участия государства в уставном капитале юридических лиц» цифры «100»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конечного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«Отчет по мониторингу реализации бюджетных инвестиций посредством участия государства в уставном капитале юридических лиц» цифру «2»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 цифры «62 813» заменить цифрой «0»;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бюджетную программу 120 «Условно финансируемые расходы»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таблице «Свод бюджетных расходов»: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«2013 год» цифры «1 509 722 884», «1 295 595 641», «214 127 243» заменить соответственно цифрами «1 309 149 656», «1 295 022 413», «14 127 243».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 и подлежит официальному опубликованию.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