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6962" w14:textId="41f6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Республики Беларусь о международном автомобильном сообщении от 19 января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2013 года № 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Республики Беларусь о международном автомобильном сообщении от 19 января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транспорта и коммуникаций Республики Казахстан Жумагалиева Аскара Куанышевича подписать от имени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Республики Беларусь о международном автомобильном сообщении от 19 января 2004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№ 398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Беларусь о международном</w:t>
      </w:r>
      <w:r>
        <w:br/>
      </w:r>
      <w:r>
        <w:rPr>
          <w:rFonts w:ascii="Times New Roman"/>
          <w:b/>
          <w:i w:val="false"/>
          <w:color w:val="000000"/>
        </w:rPr>
        <w:t>
автомобильном сообщении от 19 января 2004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Беларусь,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Беларусь о международном автомобильном сообщении от 19 января 2004 года (далее -Соглашение),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к дальнейшему развитию автомобильного сообщения между двумя государствами, а также транзита через их территории,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Перевозки грузов осуществляются автотранспортными средствами без наличия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между государствами обеих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транзитом по территориям государств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Перевозки грузов из/в третьи государства, за исключением перевозок, предусмотренных в статье 11 настоящего Соглашения, осуществляются автотранспортными средствами на основе разрешений, выдаваемых компетентными органами государств Сторон.».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Разрешение также не требуется при перегоне к месту назначения порожних автотранспортных средств, имеющих временные (транзитные) номера регистрации.».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 </w:t>
      </w:r>
      <w:r>
        <w:rPr>
          <w:rFonts w:ascii="Times New Roman"/>
          <w:b w:val="false"/>
          <w:i w:val="false"/>
          <w:color w:val="000000"/>
          <w:sz w:val="28"/>
        </w:rPr>
        <w:t>Исполнительный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применения Соглашения между Правительством Республики Казахстан и Правительством Республики Беларусь о международном автомобильном сообщении от 19 января 2004 года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а)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«между государствами обеих Сторон, транзитом по их территориям,» исключить.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 « ___ » 20 _______ года в двух экземплярах, каждый на казахском и русском языках, причем все тексты имеют одинаковую силу. В случае разногласий при толковании положений настоящего Протокола,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60"/>
        <w:gridCol w:w="5440"/>
      </w:tblGrid>
      <w:tr>
        <w:trPr>
          <w:trHeight w:val="30" w:hRule="atLeast"/>
        </w:trPr>
        <w:tc>
          <w:tcPr>
            <w:tcW w:w="5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 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 Республики Казахстан</w:t>
            </w:r>
          </w:p>
        </w:tc>
        <w:tc>
          <w:tcPr>
            <w:tcW w:w="5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 Республики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