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470" w14:textId="900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2013 года №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2013 – 2015 годы из республиканского бюджета осуществляется по научно-техническим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286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 программно-целевое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которых осуществляется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вне конкурсных процедур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инновационные клеточные технологии в регенеративной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научно-обоснованной программы по прогнозированию и профилактике преэклампсии у беременных;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инновационных технологий диагностики, лечения и реабилитации больных с множественными и сочетанными травмами, их последствиями и ортопедическими заболеваниями.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