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146b" w14:textId="e631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государственных эмиссионных ценных бумаг на внешних рынках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2013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обслуживания», в целях финансирования дефицита республиканского бюджета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Выпустить государственные эмиссионные ценные бумаги на внешних рынках капитала на сумму не менее 500 (пятьсот) миллионов долларов США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мероприятий по обновлению кредитного рейтинга страны, определению рынков и партнеров выпуска государственных ценных бумаг с целью привлечения инвесторов;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подготовку необходимой документации в соответствии с установленными для такой сделки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поступления средств от размещения государственных эмиссионных ценных бумаг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оплаты услуг партнерам выпуска государственных ценных бумаг в виде комиссионного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