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5901a" w14:textId="f0590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передачи, реализации, утилизации и списания имущества, а также предоставления в имущественный наем (аренду) недвижимого имущества специальных государственных органов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21 января 2013 года № 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Пресс-релиз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постановлению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21 января 2013 года № 16 "Об утверждении Правил передачи,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реализации, утилизации и списания имущества, а также предоставления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имущественный наем (аренду) недвижимого имущества специальных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государственных органов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21 января 2013 года утверждено постановление Правительства Республики Казахстан № 16 "Об утверждении Правил передачи, реализации, утилизации и списания имущества, а также предоставления в имущественный наем (аренду) недвижимого имущества специальных государственных органов Республики Казахстан" (далее - постановление).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Постановление разработано Комитетом национальной безопасности Республики Казахстан с целью регламентации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передачи, реализации, утилизации и списания имущества, а также предоставления в имущественный наем (аренду) недвижимого имущества специальных государственных органов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Постановление принято в реализацию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13 февраля 2012 года "О специальных государственных органах" и позволит специальным государственным органам Республики Казахстан осуществлять должный контроль в сфере учета, списания, передачи, реализации и утилизации вооружения, боевых машин, бронетранспортеров, транспортных средств специального назначения, средств бронезащиты, оптических и электронно-оптических приборов, имущества радиационной, химической, биологической защиты, запасных и комплектующих изделий к ним, специальных технических средств для проведения оперативно-розыскных мероприятий.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Принятие данного постановления не повлечет негативных, социальных и экономических последствий и не потребует дополнительных финансовых затрат из государственного бюджета.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</w:t>
      </w:r>
      <w:r>
        <w:rPr>
          <w:rFonts w:ascii="Times New Roman"/>
          <w:b w:val="false"/>
          <w:i/>
          <w:color w:val="000000"/>
          <w:sz w:val="28"/>
        </w:rPr>
        <w:t>Комитет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</w:t>
      </w:r>
      <w:r>
        <w:rPr>
          <w:rFonts w:ascii="Times New Roman"/>
          <w:b w:val="false"/>
          <w:i/>
          <w:color w:val="000000"/>
          <w:sz w:val="28"/>
        </w:rPr>
        <w:t>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</w:t>
      </w:r>
      <w:r>
        <w:rPr>
          <w:rFonts w:ascii="Times New Roman"/>
          <w:b w:val="false"/>
          <w:i/>
          <w:color w:val="000000"/>
          <w:sz w:val="28"/>
        </w:rPr>
        <w:t>Республики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