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aaf4" w14:textId="67ea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val="false"/>
          <w:color w:val="000000"/>
          <w:sz w:val="28"/>
        </w:rPr>
        <w:t>Постановление Правительства Республики Казахстан от 3 января 2013 года № 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val="false"/>
          <w:color w:val="000000"/>
          <w:sz w:val="28"/>
        </w:rPr>
        <w:t>      Ратифицировать Протокол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совершенный в городе Москве 10 декабря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ПРОТОКОЛ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p>
      <w:pPr>
        <w:spacing w:after="0"/>
        <w:ind w:left="0"/>
        <w:jc w:val="both"/>
      </w:pPr>
      <w:r>
        <w:rPr>
          <w:rFonts w:ascii="Times New Roman"/>
          <w:b w:val="false"/>
          <w:i w:val="false"/>
          <w:color w:val="000000"/>
          <w:sz w:val="28"/>
        </w:rPr>
        <w:t>      Государства - участники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(далее - Соглашение) договорились внести изменения в статьи 2 и 3 указанного Соглашения, изложив их в следующей редакции:</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целях обеспечения при разрешении споров равной возможности для судебной защиты прав и законных интересов хозяйствующих субъектов, находящихся на территориях разных государств, установить следующие ставки государственной пошлины при обращении в суд другого государства с иском ценой (в рублях Российской Федерации):</w:t>
      </w:r>
      <w:r>
        <w:br/>
      </w:r>
      <w:r>
        <w:rPr>
          <w:rFonts w:ascii="Times New Roman"/>
          <w:b w:val="false"/>
          <w:i w:val="false"/>
          <w:color w:val="000000"/>
          <w:sz w:val="28"/>
        </w:rPr>
        <w:t>
      до 10 тыс. рублей - 3 % от цены иска;</w:t>
      </w:r>
      <w:r>
        <w:br/>
      </w:r>
      <w:r>
        <w:rPr>
          <w:rFonts w:ascii="Times New Roman"/>
          <w:b w:val="false"/>
          <w:i w:val="false"/>
          <w:color w:val="000000"/>
          <w:sz w:val="28"/>
        </w:rPr>
        <w:t>
      свыше 10 тыс. рублей до 50 тыс. рублей - 300 рублей + 2,5 % от суммы свыше 10 тыс. рублей;</w:t>
      </w:r>
      <w:r>
        <w:br/>
      </w:r>
      <w:r>
        <w:rPr>
          <w:rFonts w:ascii="Times New Roman"/>
          <w:b w:val="false"/>
          <w:i w:val="false"/>
          <w:color w:val="000000"/>
          <w:sz w:val="28"/>
        </w:rPr>
        <w:t>
      свыше 50 тыс. рублей до 100 тыс. рублей - 1 тыс. 300 рублей + 2 % от суммы свыше 50 тыс. рублей;</w:t>
      </w:r>
      <w:r>
        <w:br/>
      </w:r>
      <w:r>
        <w:rPr>
          <w:rFonts w:ascii="Times New Roman"/>
          <w:b w:val="false"/>
          <w:i w:val="false"/>
          <w:color w:val="000000"/>
          <w:sz w:val="28"/>
        </w:rPr>
        <w:t>
      свыше 100 тыс. рублей до 500 тыс. рублей - 2 тыс. 300 рублей + 1,5 % от суммы свыше 100 тыс. рублей;</w:t>
      </w:r>
      <w:r>
        <w:br/>
      </w:r>
      <w:r>
        <w:rPr>
          <w:rFonts w:ascii="Times New Roman"/>
          <w:b w:val="false"/>
          <w:i w:val="false"/>
          <w:color w:val="000000"/>
          <w:sz w:val="28"/>
        </w:rPr>
        <w:t>
      свыше 500 тыс. рублей до 1 млн рублей    - 8 тыс. 300 рублей + 1 % от суммы свыше 500 тыс. рублей;</w:t>
      </w:r>
      <w:r>
        <w:br/>
      </w:r>
      <w:r>
        <w:rPr>
          <w:rFonts w:ascii="Times New Roman"/>
          <w:b w:val="false"/>
          <w:i w:val="false"/>
          <w:color w:val="000000"/>
          <w:sz w:val="28"/>
        </w:rPr>
        <w:t>
      свыше 1 млн. рублей                      - 13 тыс. 300 рублей + 0,5 % от суммы свыше 1 млн. рублей.</w:t>
      </w:r>
      <w:r>
        <w:br/>
      </w:r>
      <w:r>
        <w:rPr>
          <w:rFonts w:ascii="Times New Roman"/>
          <w:b w:val="false"/>
          <w:i w:val="false"/>
          <w:color w:val="000000"/>
          <w:sz w:val="28"/>
        </w:rPr>
        <w:t>
      С искового заявления неимущественного характера взимается государственная пошлина в размере, эквивалентном 500 рублям, если законодательством государства, где предъявляется иск, не установлен меньший размер государственной пошлины.</w:t>
      </w:r>
      <w:r>
        <w:br/>
      </w:r>
      <w:r>
        <w:rPr>
          <w:rFonts w:ascii="Times New Roman"/>
          <w:b w:val="false"/>
          <w:i w:val="false"/>
          <w:color w:val="000000"/>
          <w:sz w:val="28"/>
        </w:rPr>
        <w:t>
      С заявлений о пересмотре решений (постановлений) суда взимается государственная пошлина:</w:t>
      </w:r>
      <w:r>
        <w:br/>
      </w:r>
      <w:r>
        <w:rPr>
          <w:rFonts w:ascii="Times New Roman"/>
          <w:b w:val="false"/>
          <w:i w:val="false"/>
          <w:color w:val="000000"/>
          <w:sz w:val="28"/>
        </w:rPr>
        <w:t>
      по спорам имущественного характера - в размере 50 % от суммы государственной пошлины, исчисленной исходя из оспариваемой заявителем суммы, но не менее 250 рублей;</w:t>
      </w:r>
      <w:r>
        <w:br/>
      </w:r>
      <w:r>
        <w:rPr>
          <w:rFonts w:ascii="Times New Roman"/>
          <w:b w:val="false"/>
          <w:i w:val="false"/>
          <w:color w:val="000000"/>
          <w:sz w:val="28"/>
        </w:rPr>
        <w:t>
      по спорам неимущественного характера - в размере 50 % от суммы государственной пошлины, подлежащей уплате при подаче искового заявления неимущественного характера.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Установить при уплате государственной пошлины в судебно-арбитражные органы государств — участников Содружества Независимых Государств в качестве единого денежного эквивалента рубль Российской Федерации (далее - рубль). Курсы национальных валют к рублю определяются национальными банками государств - участников Содружества Независимых Государств. Если исковые требования выражены в валюте государства, не участвующего в Соглашении, то цена иска в рублях определяется с пересчетом по курсу, установленному Центральным банком Российской Федерации, на день уплаты государственной пошлины.</w:t>
      </w:r>
      <w:r>
        <w:br/>
      </w:r>
      <w:r>
        <w:rPr>
          <w:rFonts w:ascii="Times New Roman"/>
          <w:b w:val="false"/>
          <w:i w:val="false"/>
          <w:color w:val="000000"/>
          <w:sz w:val="28"/>
        </w:rPr>
        <w:t>
      Оплата государственной пошлины в судебно-арбитражные органы государств - участников Содружества Независимых Государств производится в национальной валюте государства нахождения суда либо в рублях Российской Федерации с пересчетом по курсам национальных валют, определяемым национальными банками государств - участников Содружества Независимых Государств, на день уплаты государственной пошлины. Оплата государственной пошлины в иной валюте производится в случаях и порядке, устанавливаемых законодательством государства нахождения суда».</w:t>
      </w:r>
      <w:r>
        <w:br/>
      </w:r>
      <w:r>
        <w:rPr>
          <w:rFonts w:ascii="Times New Roman"/>
          <w:b w:val="false"/>
          <w:i w:val="false"/>
          <w:color w:val="000000"/>
          <w:sz w:val="28"/>
        </w:rPr>
        <w:t>
      Настоящий Протокол вступает в силу с даты получения депозитарием третьего уведомления о выполнении подписавшими его государствами - участниками Соглашения внутригосударственных процедур, необходимых для его вступления в силу. Для государств — участников Соглашения, выполнивших внутригосударственные процедуры позднее, настоящий Протокол вступает в силу с даты получения депозитарием соответствующего уведомления.</w:t>
      </w:r>
      <w:r>
        <w:br/>
      </w:r>
      <w:r>
        <w:rPr>
          <w:rFonts w:ascii="Times New Roman"/>
          <w:b w:val="false"/>
          <w:i w:val="false"/>
          <w:color w:val="000000"/>
          <w:sz w:val="28"/>
        </w:rPr>
        <w:t>
      Совершено в городе Москве 10 декабря 2010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tbl>
      <w:tblPr>
        <w:tblW w:w="0" w:type="auto"/>
        <w:tblCellSpacing w:w="0" w:type="auto"/>
        <w:tblBorders>
          <w:top w:val="none"/>
          <w:left w:val="none"/>
          <w:bottom w:val="none"/>
          <w:right w:val="none"/>
          <w:insideH w:val="none"/>
          <w:insideV w:val="none"/>
        </w:tblBorders>
      </w:tblPr>
      <w:tblGrid>
        <w:gridCol w:w="6880"/>
        <w:gridCol w:w="6880"/>
      </w:tblGrid>
      <w:tr>
        <w:trPr>
          <w:trHeight w:val="51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Азербайджанскую Республику</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Армения</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Таджикистан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Туркменистан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Узбекистан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 Республику</w:t>
            </w:r>
          </w:p>
        </w:tc>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Украину</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Молдова</w:t>
            </w:r>
          </w:p>
        </w:tc>
        <w:tc>
          <w:tcPr>
            <w:tcW w:w="68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принятого на заседании Совета глав государств Содружества Независимых Государств, которое состоялось 10 декабря 2010 года в городе Москве. Подлинный экземпляр вышеупомянутого Протокола хранится в Исполнительном комитете Содружества Независимых Государств.</w:t>
      </w:r>
    </w:p>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СНГ              В.Гаркун </w:t>
      </w:r>
    </w:p>
    <w:p>
      <w:pPr>
        <w:spacing w:after="0"/>
        <w:ind w:left="0"/>
        <w:jc w:val="left"/>
      </w:pPr>
      <w:r>
        <w:rPr>
          <w:rFonts w:ascii="Times New Roman"/>
          <w:b/>
          <w:i w:val="false"/>
          <w:color w:val="000000"/>
        </w:rPr>
        <w:t xml:space="preserve">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w:t>
      </w:r>
    </w:p>
    <w:p>
      <w:pPr>
        <w:spacing w:after="0"/>
        <w:ind w:left="0"/>
        <w:jc w:val="both"/>
      </w:pPr>
      <w:r>
        <w:rPr>
          <w:rFonts w:ascii="Times New Roman"/>
          <w:b w:val="false"/>
          <w:i w:val="false"/>
          <w:color w:val="000000"/>
          <w:sz w:val="28"/>
        </w:rPr>
        <w:t>      Государства-участники Содружества Независимых Государств, основываясь на Договоре о создании Экономического союза и признавая необходимость единообразных подходов об осуществлении правосудия по хозяйственным спорам, обеспечения равной защиты прав и интересов хозяйствующих субъектов на территории государств-участников Содружества Независимых Государств,</w:t>
      </w:r>
    </w:p>
    <w:p>
      <w:pPr>
        <w:spacing w:after="0"/>
        <w:ind w:left="0"/>
        <w:jc w:val="both"/>
      </w:pP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регулирует вопросы, связанные с исполнением Договора о создании Экономического союза в части осуществления правосудия арбитражными и хозяйственными судами государств - участников Содружества Независимых Государств.</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В целях обеспечения равной возможности для судебной защиты законных прав и интересов при разрешении споров хозяйствующих субъектов, находящихся на территории разных государств, установить при обращении в суд другого государства ставку государственной пошлины в размере 10 процентов от суммы иска в валюте иска.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Установить в качестве единого денежного эквивалента - рубль - при уплате госпошлины в судебно-арбитражные органы государств-участников Содружества. Курсы национальных валют к рублю определяются национальными банками государств - участников Содружества Независимых Государств.</w:t>
      </w:r>
      <w:r>
        <w:br/>
      </w:r>
      <w:r>
        <w:rPr>
          <w:rFonts w:ascii="Times New Roman"/>
          <w:b w:val="false"/>
          <w:i w:val="false"/>
          <w:color w:val="000000"/>
          <w:sz w:val="28"/>
        </w:rPr>
        <w:t>
      Оплата, государственной пошлины в судебно-арбитражные органы производятся в национальной валюте государства нахождения суда, либо в рублях Российской Федерации с пересчетом по курсам национальных валют, определяемых национальными банками государств -участников Содружества Независимых Государств.</w:t>
      </w:r>
      <w:r>
        <w:br/>
      </w:r>
      <w:r>
        <w:rPr>
          <w:rFonts w:ascii="Times New Roman"/>
          <w:b w:val="false"/>
          <w:i w:val="false"/>
          <w:color w:val="000000"/>
          <w:sz w:val="28"/>
        </w:rPr>
        <w:t>
      Национальным банкам государств-участников Содружества обеспечить беспрепятственную, оплату госпошлины и взыскание денежных сумм по решениям арбитражных органов государств-участников Содружества Независимых Государств.</w:t>
      </w:r>
      <w:r>
        <w:br/>
      </w:r>
      <w:r>
        <w:rPr>
          <w:rFonts w:ascii="Times New Roman"/>
          <w:b w:val="false"/>
          <w:i w:val="false"/>
          <w:color w:val="000000"/>
          <w:sz w:val="28"/>
        </w:rPr>
        <w:t>
      Контроль за исполнением решений возлагается на высшие судебно-арбитражные (хозяйственные суды) государств-должников.</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Для изучения действующего законодательства государств-участников Содружества, а также практики его применения и работы арбитражных судов организуется регулярный обмен соответствующими законодательными актами и судебными документами, содержащими арбитражно-хозяйственную практику.</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Настоящее Соглашение вступает в силу с момента его подписания.</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Изменения и дополнения в настоящее Соглашение вносятся по инициативе государств, подписавших Соглашение.</w:t>
      </w:r>
      <w:r>
        <w:br/>
      </w:r>
      <w:r>
        <w:rPr>
          <w:rFonts w:ascii="Times New Roman"/>
          <w:b w:val="false"/>
          <w:i w:val="false"/>
          <w:color w:val="000000"/>
          <w:sz w:val="28"/>
        </w:rPr>
        <w:t>
      Совершено в городе Ашгабате 24 декабря 1993 года в одном подлинном экземпляре на русском языке. Подлинный экземпляр хранится в Архиве Правительства Республики Беларусь, которое направит государствам, подписавшим настоящее Соглашение, его заверенную копию.</w:t>
      </w:r>
    </w:p>
    <w:tbl>
      <w:tblPr>
        <w:tblW w:w="0" w:type="auto"/>
        <w:tblCellSpacing w:w="0" w:type="auto"/>
        <w:tblBorders>
          <w:top w:val="none"/>
          <w:left w:val="none"/>
          <w:bottom w:val="none"/>
          <w:right w:val="none"/>
          <w:insideH w:val="none"/>
          <w:insideV w:val="none"/>
        </w:tblBorders>
      </w:tblPr>
      <w:tblGrid>
        <w:gridCol w:w="6880"/>
        <w:gridCol w:w="6840"/>
      </w:tblGrid>
      <w:tr>
        <w:trPr>
          <w:trHeight w:val="51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Азербайджанскую Республику</w:t>
            </w:r>
          </w:p>
        </w:tc>
        <w:tc>
          <w:tcPr>
            <w:tcW w:w="68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Молдова</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Армения</w:t>
            </w:r>
          </w:p>
        </w:tc>
        <w:tc>
          <w:tcPr>
            <w:tcW w:w="68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p>
        </w:tc>
        <w:tc>
          <w:tcPr>
            <w:tcW w:w="68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Таджикистан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Грузия</w:t>
            </w:r>
          </w:p>
        </w:tc>
        <w:tc>
          <w:tcPr>
            <w:tcW w:w="68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Туркменистан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Узбекистан</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 Республику</w:t>
            </w:r>
          </w:p>
        </w:tc>
        <w:tc>
          <w:tcPr>
            <w:tcW w:w="68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Украину</w:t>
            </w:r>
          </w:p>
        </w:tc>
      </w:tr>
    </w:tbl>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подписанного 23 декабря 1993 года в г. Ашгабате, подлинный экземпляр которого хранится в Архиве Правительства Республики Беларусь.</w:t>
      </w:r>
    </w:p>
    <w:p>
      <w:pPr>
        <w:spacing w:after="0"/>
        <w:ind w:left="0"/>
        <w:jc w:val="both"/>
      </w:pPr>
      <w:r>
        <w:rPr>
          <w:rFonts w:ascii="Times New Roman"/>
          <w:b w:val="false"/>
          <w:i/>
          <w:color w:val="000000"/>
          <w:sz w:val="28"/>
        </w:rPr>
        <w:t>      Начальник Договорно-</w:t>
      </w:r>
      <w:r>
        <w:br/>
      </w:r>
      <w:r>
        <w:rPr>
          <w:rFonts w:ascii="Times New Roman"/>
          <w:b w:val="false"/>
          <w:i w:val="false"/>
          <w:color w:val="000000"/>
          <w:sz w:val="28"/>
        </w:rPr>
        <w:t>
</w:t>
      </w:r>
      <w:r>
        <w:rPr>
          <w:rFonts w:ascii="Times New Roman"/>
          <w:b w:val="false"/>
          <w:i/>
          <w:color w:val="000000"/>
          <w:sz w:val="28"/>
        </w:rPr>
        <w:t>      правового управления</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Беларусь                        В.Н. Фисенко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