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1e1" w14:textId="2ff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— 2015 годы»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«2</w:t>
      </w:r>
      <w:r>
        <w:rPr>
          <w:rFonts w:ascii="Times New Roman"/>
          <w:b w:val="false"/>
          <w:i w:val="false"/>
          <w:color w:val="000000"/>
          <w:sz w:val="28"/>
        </w:rPr>
        <w:t>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«Стратегическое направление 1. Формирование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«Стратегическое направление 1. Формирование бюджета, ориентированного на результат»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Совершенствование бюджета, ориентированного на результат»;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 второго полугодия 2011 года заказчики вправе воспользоваться веб-порталом государственных закупок и проводить государственные закупки способом конкурса в электронном формате, а с 1 июля 2012 года государственные закупки данным способом осуществляются только посредством электронных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с 1 июля 2012 года внедрен новый способ осуществления государственных закупок - электронный аукцион, который осуществляется в электронном формате в режиме реального времени на названном портале.»;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бюджетных инвестиций будет осуществляться посредством участия государства в уставном капитале юридических лиц, которым является регулярный и систематический сбор информации, учет и анализ реализации бюджетных инвестиций,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мероприятий, в целях отслеживания и подготовки данных для последующей оценки эффективности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одним из разделов структуры бюджета является чистое бюджетное кредитование, которое состоит из разницы между бюджетным кредитованием и погашением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погашения бюджетных кредитов представляется следующими данными: в 2009 году - 20,5 млрд. тенге, в 2010 году - 102,3 млрд. тенге, в 2011 году — 99,2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Резкое увеличение поступлений по погашению бюджетных кредитов в 2010 - 2011 годы по сравнению с 2009 годом объясняется тем, что в 2010 - 2011 годы были погашены бюджетные кредиты, предоставленные АО «НУХ «КазАгро» в целях проведения мероприятий по поддержке субъектов агропромышленного комплекса, в том числе в 2010 году - 80,0 млрд. тенге и в 2011 году - частично 60,9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доля поступлений по бюджетным кредитам в 2009 - 2011 годах приходится на бюджетные кредиты, выданные местным исполнительным органам на реализацию социальных программ, как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 развития жилищного строительства в Республике Казахстан на 2005 - 2007 годы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 жилищного строительства в Республике Казахстан на 2008 - 2010 годы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исполнение плана поступлений по погашению бюджетных кредитов не всегда осуществляется на должном уровне (перевыполнение или недоисполнение), так как влияет внешний фактор.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вышеуказанного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реструктуризация срока погашения бюджетного кредита —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курса валют (в случае предоставления бюджетного кредита из республиканского бюджета за счет средств внешнего займа в валюте займа);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досрочное погашение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возврат неосвоенных средств бюджетного кредита,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при формировании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«3.1.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«1.1.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качества планирования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«1.1.1. Формирование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713"/>
        <w:gridCol w:w="753"/>
        <w:gridCol w:w="713"/>
        <w:gridCol w:w="813"/>
        <w:gridCol w:w="793"/>
        <w:gridCol w:w="833"/>
        <w:gridCol w:w="993"/>
        <w:gridCol w:w="1053"/>
        <w:gridCol w:w="101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администраторов республиканских бюджетных программ, перешедших на программно-целевой классификатор расходов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МФ РК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993"/>
        <w:gridCol w:w="613"/>
        <w:gridCol w:w="673"/>
        <w:gridCol w:w="773"/>
        <w:gridCol w:w="713"/>
        <w:gridCol w:w="753"/>
        <w:gridCol w:w="753"/>
        <w:gridCol w:w="933"/>
        <w:gridCol w:w="10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администраторов республиканских бюджетных программ, перешедших на программно-целевой классификатор расходов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МФ РК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993"/>
        <w:gridCol w:w="833"/>
        <w:gridCol w:w="893"/>
        <w:gridCol w:w="97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по внедрению программно-целевого бюджета и нового формата составления бюджетной заявки и пересмотр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классификации с целью определения бюджетных программ государственных органов исходя из целей и задач, определенных в стратегическом плане государственного органа по пилотным министерствам (министерства здравоохранения, сельского хозяйства, финансов)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программно-целевого бюджета в пилотных министерствах (министерства здравоохранения, сельского хозяйства, финансов)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3"/>
        <w:gridCol w:w="773"/>
        <w:gridCol w:w="853"/>
        <w:gridCol w:w="793"/>
        <w:gridCol w:w="973"/>
        <w:gridCol w:w="753"/>
      </w:tblGrid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по внедрению программно-целевого бюджета и нового формата составления бюджетной заявки и пересмотр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классификации с целью определения бюджетных программ государственных органов, исходя из целей и задач, определенных в стратегическом плане государственного органа по пилотному министерству (министерство финансов)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программно-целевого бюджета в пилотном министерстве (министерство финансов) на бумажном носителе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3"/>
        <w:gridCol w:w="693"/>
        <w:gridCol w:w="833"/>
        <w:gridCol w:w="773"/>
        <w:gridCol w:w="933"/>
        <w:gridCol w:w="693"/>
      </w:tblGrid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обучающего семинара-совещания по переводу служб внутреннего контроля государственных органов в службы внутреннего аудита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«1.2.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качества исполнения бюджета, эффективности расходов и финансовой дисциплины, а также удержание государственного долга на безопасном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 029»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«Коды бюджетных программ, направленных на достижение данной цели 001,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целевыми индикаторами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911"/>
        <w:gridCol w:w="800"/>
        <w:gridCol w:w="1003"/>
        <w:gridCol w:w="1185"/>
        <w:gridCol w:w="1184"/>
        <w:gridCol w:w="1184"/>
        <w:gridCol w:w="1184"/>
        <w:gridCol w:w="1185"/>
        <w:gridCol w:w="1004"/>
      </w:tblGrid>
      <w:tr>
        <w:trPr>
          <w:trHeight w:val="30" w:hRule="atLeast"/>
        </w:trPr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информации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заемщиков, погашающих бюджетные кредиты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учреждений перешедших на ИС «Казначейство-клиент»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ТПК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задачи 1.2.1. «Обеспечение исполнения республиканского бюджета, повышение эффективности и прозрачности системы государственных закупок, доведение активов Национального фонда к 2020 году до уровня не менее 30 % ВВП»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1.2.1. Обеспечение исполнения республиканского бюджета, доведение активов Национального фонда к 2020 году до уровня не менее 30 % ВВП»;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333"/>
        <w:gridCol w:w="653"/>
        <w:gridCol w:w="873"/>
        <w:gridCol w:w="973"/>
        <w:gridCol w:w="973"/>
        <w:gridCol w:w="973"/>
        <w:gridCol w:w="973"/>
        <w:gridCol w:w="793"/>
        <w:gridCol w:w="793"/>
      </w:tblGrid>
      <w:tr>
        <w:trPr>
          <w:trHeight w:val="21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электронных государственных закупок в общем объеме государственных закупок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информационной системы Веб-портал государственных закупок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пользователей, удовлетворенных работой системы электронных государственных закупок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Веб-портал государственных закупок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929"/>
        <w:gridCol w:w="739"/>
        <w:gridCol w:w="1043"/>
        <w:gridCol w:w="1184"/>
        <w:gridCol w:w="1183"/>
        <w:gridCol w:w="1183"/>
        <w:gridCol w:w="981"/>
        <w:gridCol w:w="982"/>
        <w:gridCol w:w="1003"/>
      </w:tblGrid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0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своевременно погашенных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администрат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оров бюджетных программ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1916"/>
        <w:gridCol w:w="968"/>
        <w:gridCol w:w="967"/>
        <w:gridCol w:w="967"/>
        <w:gridCol w:w="967"/>
        <w:gridCol w:w="1345"/>
        <w:gridCol w:w="808"/>
        <w:gridCol w:w="788"/>
        <w:gridCol w:w="868"/>
      </w:tblGrid>
      <w:tr>
        <w:trPr>
          <w:trHeight w:val="159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проверками службы внутреннего контроля бюджетных средств, администрируемых МФ РК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МФ РК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0"/>
        <w:gridCol w:w="1153"/>
        <w:gridCol w:w="1153"/>
        <w:gridCol w:w="958"/>
        <w:gridCol w:w="958"/>
        <w:gridCol w:w="978"/>
      </w:tblGrid>
      <w:tr>
        <w:trPr>
          <w:trHeight w:val="30" w:hRule="atLeast"/>
        </w:trPr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совершенствованию системы электронных государственных закупок в разрезе способов закупок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о государственных закупках в целях обеспечения повышения эффективности и прозрачности системы государственных закупок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1155"/>
        <w:gridCol w:w="959"/>
        <w:gridCol w:w="959"/>
        <w:gridCol w:w="959"/>
        <w:gridCol w:w="979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финансовой дисциплины при исполнении обязательств по бюджетным кредитам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погашения бюджетных кредитов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данных и подготовка отчета по мониторингу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исполнения республиканского бюджета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целью 1.3.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«Цель 1.3.Повышение эффективности процесса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 бюджетных программ, направленных на достижение данной цели 033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817"/>
        <w:gridCol w:w="986"/>
        <w:gridCol w:w="945"/>
        <w:gridCol w:w="1148"/>
        <w:gridCol w:w="1128"/>
        <w:gridCol w:w="986"/>
        <w:gridCol w:w="987"/>
        <w:gridCol w:w="987"/>
        <w:gridCol w:w="1008"/>
      </w:tblGrid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7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электронных государственных закупок в общем объеме государственных закупок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государственных закупок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Повышение эффективности и прозрачности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7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пользователей, удовлетворенных работой системы электронных государственных закупок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информационной системы Веб-портал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6"/>
        <w:gridCol w:w="985"/>
        <w:gridCol w:w="1208"/>
        <w:gridCol w:w="1268"/>
        <w:gridCol w:w="1066"/>
        <w:gridCol w:w="1027"/>
      </w:tblGrid>
      <w:tr>
        <w:trPr>
          <w:trHeight w:val="30" w:hRule="atLeast"/>
        </w:trPr>
        <w:tc>
          <w:tcPr>
            <w:tcW w:w="7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совершенствованию системы электронных государственных закупок в разрезе способов закупок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о государственных закупках в целях обеспечения повышения эффективности и прозрачности системы государственных закупок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«2.1.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Улучшение налогового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 036, 072»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«Коды бюджетных программ, направленных на достижение данной цели 036, 040,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1356"/>
        <w:gridCol w:w="1356"/>
        <w:gridCol w:w="1336"/>
        <w:gridCol w:w="1035"/>
        <w:gridCol w:w="895"/>
        <w:gridCol w:w="955"/>
        <w:gridCol w:w="855"/>
        <w:gridCol w:w="976"/>
        <w:gridCol w:w="997"/>
      </w:tblGrid>
      <w:tr>
        <w:trPr>
          <w:trHeight w:val="30" w:hRule="atLeast"/>
        </w:trPr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 информации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  «Налогообложение» рейтинга Всемирного банка «Doing Business»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1704"/>
        <w:gridCol w:w="1480"/>
        <w:gridCol w:w="956"/>
        <w:gridCol w:w="956"/>
        <w:gridCol w:w="956"/>
        <w:gridCol w:w="956"/>
        <w:gridCol w:w="956"/>
        <w:gridCol w:w="956"/>
        <w:gridCol w:w="975"/>
      </w:tblGrid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 ет)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 н)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«Налогообложение» рейтинга Всемирного банка «Doing Business»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«Повышение эффективности регулирования в сфере банкротства и посткризисное восстановление (оздоровление) конкурентоспособных предприятий»: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«3.1</w:t>
      </w:r>
      <w:r>
        <w:rPr>
          <w:rFonts w:ascii="Times New Roman"/>
          <w:b w:val="false"/>
          <w:i w:val="false"/>
          <w:color w:val="000000"/>
          <w:sz w:val="28"/>
        </w:rPr>
        <w:t>. Усовершенствование механизма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99"/>
        <w:gridCol w:w="715"/>
        <w:gridCol w:w="1559"/>
        <w:gridCol w:w="1358"/>
        <w:gridCol w:w="977"/>
        <w:gridCol w:w="977"/>
        <w:gridCol w:w="977"/>
        <w:gridCol w:w="977"/>
        <w:gridCol w:w="998"/>
      </w:tblGrid>
      <w:tr>
        <w:trPr>
          <w:trHeight w:val="30" w:hRule="atLeast"/>
        </w:trPr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«Разрешение неплатежеспособности» рейтинга Всемирного банка «Doing Business»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1820"/>
        <w:gridCol w:w="856"/>
        <w:gridCol w:w="1358"/>
        <w:gridCol w:w="1177"/>
        <w:gridCol w:w="977"/>
        <w:gridCol w:w="977"/>
        <w:gridCol w:w="977"/>
        <w:gridCol w:w="977"/>
        <w:gridCol w:w="998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«Разрешение неплатежеспособности» рейтинга Всемирного банка «Doing Business»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«3.2.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Восстановление платежеспособности конкурентоспособных предприятий»: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«3.2.1. Оказание мер государственной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1819"/>
        <w:gridCol w:w="1121"/>
        <w:gridCol w:w="1306"/>
        <w:gridCol w:w="1101"/>
        <w:gridCol w:w="815"/>
        <w:gridCol w:w="877"/>
        <w:gridCol w:w="1000"/>
        <w:gridCol w:w="959"/>
        <w:gridCol w:w="940"/>
      </w:tblGrid>
      <w:tr>
        <w:trPr>
          <w:trHeight w:val="30" w:hRule="atLeast"/>
        </w:trPr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 восстановления, в отношении которых обеспечено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 имеющимся займам (кредитам)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операциям, купона по облигациям,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иятие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501"/>
        <w:gridCol w:w="1296"/>
        <w:gridCol w:w="1147"/>
        <w:gridCol w:w="1147"/>
        <w:gridCol w:w="1147"/>
        <w:gridCol w:w="957"/>
        <w:gridCol w:w="957"/>
        <w:gridCol w:w="957"/>
        <w:gridCol w:w="976"/>
      </w:tblGrid>
      <w:tr>
        <w:trPr>
          <w:trHeight w:val="30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 посткризисного восстановления, в отношении которых обеспечено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уже  имеющимся займам (кредитам) и/или лизинговым операциям, купона по облигациям, размещенным на Казахстанской фондовой бирже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оператора услуг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0"/>
        <w:gridCol w:w="896"/>
        <w:gridCol w:w="907"/>
        <w:gridCol w:w="907"/>
        <w:gridCol w:w="925"/>
        <w:gridCol w:w="925"/>
      </w:tblGrid>
      <w:tr>
        <w:trPr>
          <w:trHeight w:val="30" w:hRule="atLeast"/>
        </w:trPr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153"/>
        <w:gridCol w:w="957"/>
        <w:gridCol w:w="959"/>
        <w:gridCol w:w="959"/>
        <w:gridCol w:w="979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бюджетного планирования, исполнения и контроля за исполнением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«51 614 272» заменить цифрами «51 283 441»;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«Осуществление аудита инвестиционных проектов, финансируемых международными финансовыми организациями»: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«34 000» заменить цифрами «23 000»;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«Проведение процедур ликвидации и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ликвидированных организаций» цифры «1 095» заменить цифрами «828»;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«Ликвидация несостоятельных должников» цифры «1 095» заменить цифрами «828»;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«118 861» заменить цифрами «87 141»;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«Приобретение акций международных  финансовых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«1 207 008» заменить цифрами «2 439 237»;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программе 010 «Резерв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«86 331 317» заменить цифрами «92 208 383»;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«Выполнение обязательств по государственным гарантиям»: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«363 970» заменить цифрами «292 285»;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«Резерв Правительства Республики Казахстан на покрытие дефицита наличности по бюджетам»: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«Предоставление кредитов нижестоящим бюджетам на покрытие дефицита наличности при наличии решений Правительства Республики Казахстан»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«100 % покрытие дефицита наличности по нижестоящим бюджетам»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«Обслуживание правительственного долга»: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«176 316 794» заменить цифрами «135 397 256»;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таможенной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1213"/>
        <w:gridCol w:w="1033"/>
        <w:gridCol w:w="1033"/>
        <w:gridCol w:w="1033"/>
        <w:gridCol w:w="833"/>
        <w:gridCol w:w="833"/>
        <w:gridCol w:w="833"/>
        <w:gridCol w:w="793"/>
      </w:tblGrid>
      <w:tr>
        <w:trPr>
          <w:trHeight w:val="60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относящихся к основным средствам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консалтинговых услуг»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нематериальных активов для модернизации существующих информационных систем»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1213"/>
        <w:gridCol w:w="1033"/>
        <w:gridCol w:w="1033"/>
        <w:gridCol w:w="1033"/>
        <w:gridCol w:w="833"/>
        <w:gridCol w:w="833"/>
        <w:gridCol w:w="833"/>
        <w:gridCol w:w="79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серверным оборудованием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1685"/>
        <w:gridCol w:w="772"/>
        <w:gridCol w:w="772"/>
        <w:gridCol w:w="772"/>
        <w:gridCol w:w="777"/>
        <w:gridCol w:w="772"/>
        <w:gridCol w:w="772"/>
        <w:gridCol w:w="772"/>
      </w:tblGrid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информационной системы Центра оперативного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             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«1 084 450» заменить цифрами «942 120»;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административных зданий»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«1 577 894» заменить цифрами «1 477 894»;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объектов таможенного контроля и таможенной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строительства служебных жилых домов и общежитий для сотрудников таможенных постов» цифры «44»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новых и реконструкция действующих контрольно-пропускных пунктов на таможенных постах»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жильем сотрудников таможенных органов в приграничных районах» цифры «44»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«3 679 614» заменить цифрами «2 381 202»;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«Создание информационной системы «ТАИС» и «Электронная таможня»: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серверного оборудования»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телекоммуникационного оборудования»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«757 816» заменить цифрами «735 373»;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«Модернизация информационных систем Налоговых органов, связанных с изменением налогового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«7 195 587» заменить цифрами «6 958 898»;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«Субсидирование процентной ставки вознаграждения в рамках «Программы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цифры «30»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просубсидируемых кредитов» цифры «30»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«10 533 441» заменить цифрами «5 016 420»;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цифры «18»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просубсидируемых кредитов» цифры «18»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цифры «18»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просубсидируемых кредитов» цифры «18»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«Погашение простых векселей»: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«5 271 071» заменить цифрами «5 200 439»;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046 «Мониторинг реализации планов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оздоровлений участников «Программы посткризисного восстановления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«Процент предприятий-участников Программы, планы оздоровления которых подлежат мониторингу»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«Решения Совета по оздоровлению о принятии результатов мониторинга планов оздоровления предприятий-участников Программы»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«201 817»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061 «Создание интегрированной автоматизированной информационной системы «е-Минфин»: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778"/>
        <w:gridCol w:w="769"/>
        <w:gridCol w:w="769"/>
        <w:gridCol w:w="769"/>
        <w:gridCol w:w="780"/>
        <w:gridCol w:w="769"/>
        <w:gridCol w:w="769"/>
        <w:gridCol w:w="595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автоматизированных функций (бизнес-процессов) центрального аппарата Министерства финансов Республики Казахстан из общего объема функций,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апреля 2012 года № 221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функциональных подсистем ИАИС «е-Минфин», введенных в опытную эксплуатацию (на конец года)» цифру «9»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необходимой инфраструктуры «е-Минфина» в части аппаратного обеспечения»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778"/>
        <w:gridCol w:w="769"/>
        <w:gridCol w:w="769"/>
        <w:gridCol w:w="769"/>
        <w:gridCol w:w="780"/>
        <w:gridCol w:w="769"/>
        <w:gridCol w:w="769"/>
        <w:gridCol w:w="595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пользователей, удовлетворенных работой «е-Минфин»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зарегистрированных пользователей ИАИС «е-Минфин» по всем подсистемам (на конец года)» цифры «22 080»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зарегистрированных пользователей-работников МФ РК ИАИС «е-Минфин» по всем подсистемам (на конец года)» цифры «1 966»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внешних незарегистрированных пользователей (гости портала)» цифры «50 000»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«5 057 878»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«1 485 000»;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072 «Реформирование системы налогового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«Изучение международного опыта (учебные туры, ознакомительные поездки, семинары)» цифры «80»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товаров, относящихся к основным средствам (спецоборудование)» цифры «489» заменить цифрами «71»;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нематериальных активов для модернизации существующих информационных систем» цифры «105»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«2 506 079» заменить цифрами «199 526»;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073 «Развитие интегрированной информационной системы Казначейства и создание компонента «Казначейства-клиент»: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«1 764 778» заменить цифрами «1 573 498»;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«7.2</w:t>
      </w:r>
      <w:r>
        <w:rPr>
          <w:rFonts w:ascii="Times New Roman"/>
          <w:b w:val="false"/>
          <w:i w:val="false"/>
          <w:color w:val="000000"/>
          <w:sz w:val="28"/>
        </w:rPr>
        <w:t>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«1 257 553 614», «1 236 718 887», «20 834 727» заменить соответственно цифрами «1 209 038 080», «1 192 435 156», «16 602 924».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