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ae2f" w14:textId="010a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1753. Утратило силу постановлением Правительства Республики Казахстан от 31 декабря 2013 года № 1561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31.12.2013 </w:t>
      </w:r>
      <w:r>
        <w:rPr>
          <w:rFonts w:ascii="Times New Roman"/>
          <w:b w:val="false"/>
          <w:i w:val="false"/>
          <w:color w:val="ff0000"/>
          <w:sz w:val="28"/>
        </w:rPr>
        <w:t>№ 1561</w:t>
      </w:r>
      <w:r>
        <w:rPr>
          <w:rFonts w:ascii="Times New Roman"/>
          <w:b w:val="false"/>
          <w:i w:val="false"/>
          <w:color w:val="ff0000"/>
          <w:sz w:val="28"/>
        </w:rPr>
        <w:t xml:space="preserve"> (вводится в действие с 01.01.2014).</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2011 г., № 20, ст. 240)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транспорта и коммуникаций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«Стратегические направления деятельности, цели, целевые индикаторы, задачи, мероприятия,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1.</w:t>
      </w:r>
      <w:r>
        <w:rPr>
          <w:rFonts w:ascii="Times New Roman"/>
          <w:b w:val="false"/>
          <w:i w:val="false"/>
          <w:color w:val="000000"/>
          <w:sz w:val="28"/>
        </w:rPr>
        <w:t xml:space="preserve">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1.1</w:t>
      </w:r>
      <w:r>
        <w:rPr>
          <w:rFonts w:ascii="Times New Roman"/>
          <w:b w:val="false"/>
          <w:i w:val="false"/>
          <w:color w:val="000000"/>
          <w:sz w:val="28"/>
        </w:rPr>
        <w:t xml:space="preserve"> «Достижение опережающих темпов развития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строку «Коды бюджетных программ, направленных на достижение данной цели» дополнить цифрами «049»;</w:t>
      </w:r>
      <w:r>
        <w:br/>
      </w:r>
      <w:r>
        <w:rPr>
          <w:rFonts w:ascii="Times New Roman"/>
          <w:b w:val="false"/>
          <w:i w:val="false"/>
          <w:color w:val="000000"/>
          <w:sz w:val="28"/>
        </w:rPr>
        <w:t>
</w:t>
      </w:r>
      <w:r>
        <w:rPr>
          <w:rFonts w:ascii="Times New Roman"/>
          <w:b w:val="false"/>
          <w:i w:val="false"/>
          <w:color w:val="000000"/>
          <w:sz w:val="28"/>
        </w:rPr>
        <w:t>
      в графах «2013 год», «2014 год», «2015 год» строки «1. Позиция в ГИК «Качество дорог» цифры «118», «116», «114» заменить соответственно цифрами «116», «115», «113»;</w:t>
      </w:r>
      <w:r>
        <w:br/>
      </w:r>
      <w:r>
        <w:rPr>
          <w:rFonts w:ascii="Times New Roman"/>
          <w:b w:val="false"/>
          <w:i w:val="false"/>
          <w:color w:val="000000"/>
          <w:sz w:val="28"/>
        </w:rPr>
        <w:t>
</w:t>
      </w:r>
      <w:r>
        <w:rPr>
          <w:rFonts w:ascii="Times New Roman"/>
          <w:b w:val="false"/>
          <w:i w:val="false"/>
          <w:color w:val="000000"/>
          <w:sz w:val="28"/>
        </w:rPr>
        <w:t>
      в графах «2013 год», «2014 год», «2015 год» строки «2. Позиция в ГИК «Качество железнодорожной инфраструктуры» цифры «29», «27», «25» заменить соответственно цифрами «27», «26», «25»;</w:t>
      </w:r>
      <w:r>
        <w:br/>
      </w:r>
      <w:r>
        <w:rPr>
          <w:rFonts w:ascii="Times New Roman"/>
          <w:b w:val="false"/>
          <w:i w:val="false"/>
          <w:color w:val="000000"/>
          <w:sz w:val="28"/>
        </w:rPr>
        <w:t>
</w:t>
      </w:r>
      <w:r>
        <w:rPr>
          <w:rFonts w:ascii="Times New Roman"/>
          <w:b w:val="false"/>
          <w:i w:val="false"/>
          <w:color w:val="000000"/>
          <w:sz w:val="28"/>
        </w:rPr>
        <w:t>
      в графах «2013 год», «2014 год» строки «4. Позиция в ГИК «Качество инфраструктуры воздушного транспорта» цифры «96», «94» заменить соответственно цифрами «94», «93»;</w:t>
      </w:r>
      <w:r>
        <w:br/>
      </w:r>
      <w:r>
        <w:rPr>
          <w:rFonts w:ascii="Times New Roman"/>
          <w:b w:val="false"/>
          <w:i w:val="false"/>
          <w:color w:val="000000"/>
          <w:sz w:val="28"/>
        </w:rPr>
        <w:t>
</w:t>
      </w:r>
      <w:r>
        <w:rPr>
          <w:rFonts w:ascii="Times New Roman"/>
          <w:b w:val="false"/>
          <w:i w:val="false"/>
          <w:color w:val="000000"/>
          <w:sz w:val="28"/>
        </w:rPr>
        <w:t>
      в графах «2013 год», «2014 год», «2015 год» строки «7. Прозрачность решений, принимаемых государственными органом (показатель «ГИК ВЭФ»)» цифры «42», «40», «38» заменить соответственно цифрами «30», «29», «28»;</w:t>
      </w:r>
      <w:r>
        <w:br/>
      </w:r>
      <w:r>
        <w:rPr>
          <w:rFonts w:ascii="Times New Roman"/>
          <w:b w:val="false"/>
          <w:i w:val="false"/>
          <w:color w:val="000000"/>
          <w:sz w:val="28"/>
        </w:rPr>
        <w:t>
</w:t>
      </w:r>
      <w:r>
        <w:rPr>
          <w:rFonts w:ascii="Times New Roman"/>
          <w:b w:val="false"/>
          <w:i w:val="false"/>
          <w:color w:val="000000"/>
          <w:sz w:val="28"/>
        </w:rPr>
        <w:t>
      в задаче 1.1.1. «Повышение уровня развития инфраструктуры автодорожной отрасли»:</w:t>
      </w:r>
      <w:r>
        <w:br/>
      </w:r>
      <w:r>
        <w:rPr>
          <w:rFonts w:ascii="Times New Roman"/>
          <w:b w:val="false"/>
          <w:i w:val="false"/>
          <w:color w:val="000000"/>
          <w:sz w:val="28"/>
        </w:rPr>
        <w:t>
</w:t>
      </w:r>
      <w:r>
        <w:rPr>
          <w:rFonts w:ascii="Times New Roman"/>
          <w:b w:val="false"/>
          <w:i w:val="false"/>
          <w:color w:val="000000"/>
          <w:sz w:val="28"/>
        </w:rPr>
        <w:t xml:space="preserve">
      в графах «2013 год», «2014 год», «2015 год» строки «3. Протяженность дорог республиканского значения, охваченных всеми видами ремонта» цифры «2 211», «2 263», «2 300» заменить соответственно цифрами «1 632», «1 898», «1 358»; </w:t>
      </w:r>
      <w:r>
        <w:br/>
      </w:r>
      <w:r>
        <w:rPr>
          <w:rFonts w:ascii="Times New Roman"/>
          <w:b w:val="false"/>
          <w:i w:val="false"/>
          <w:color w:val="000000"/>
          <w:sz w:val="28"/>
        </w:rPr>
        <w:t>
</w:t>
      </w:r>
      <w:r>
        <w:rPr>
          <w:rFonts w:ascii="Times New Roman"/>
          <w:b w:val="false"/>
          <w:i w:val="false"/>
          <w:color w:val="000000"/>
          <w:sz w:val="28"/>
        </w:rPr>
        <w:t>
      в задаче «1.1.4. Повышение уровня развития инфраструктуры водного транспорта»: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1628"/>
        <w:gridCol w:w="1039"/>
        <w:gridCol w:w="908"/>
        <w:gridCol w:w="908"/>
        <w:gridCol w:w="908"/>
        <w:gridCol w:w="909"/>
        <w:gridCol w:w="909"/>
        <w:gridCol w:w="909"/>
        <w:gridCol w:w="953"/>
      </w:tblGrid>
      <w:tr>
        <w:trPr>
          <w:trHeight w:val="70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Пропускная способность морских портов доведена до 48 млн. тонн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 в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изложить в следующей редакции:</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1628"/>
        <w:gridCol w:w="1039"/>
        <w:gridCol w:w="908"/>
        <w:gridCol w:w="908"/>
        <w:gridCol w:w="908"/>
        <w:gridCol w:w="909"/>
        <w:gridCol w:w="909"/>
        <w:gridCol w:w="909"/>
        <w:gridCol w:w="953"/>
      </w:tblGrid>
      <w:tr>
        <w:trPr>
          <w:trHeight w:val="70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Пропускная способность морских портов</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 в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bookmarkStart w:name="z1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8"/>
        <w:gridCol w:w="1539"/>
        <w:gridCol w:w="711"/>
        <w:gridCol w:w="907"/>
        <w:gridCol w:w="711"/>
        <w:gridCol w:w="711"/>
        <w:gridCol w:w="493"/>
        <w:gridCol w:w="493"/>
        <w:gridCol w:w="494"/>
        <w:gridCol w:w="473"/>
      </w:tblGrid>
      <w:tr>
        <w:trPr>
          <w:trHeight w:val="705"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2.Обновление и модернизация государственного технического речного флота в количестве 24 ед. к 2015 году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8"/>
        <w:gridCol w:w="1539"/>
        <w:gridCol w:w="711"/>
        <w:gridCol w:w="907"/>
        <w:gridCol w:w="711"/>
        <w:gridCol w:w="711"/>
        <w:gridCol w:w="493"/>
        <w:gridCol w:w="493"/>
        <w:gridCol w:w="494"/>
        <w:gridCol w:w="473"/>
      </w:tblGrid>
      <w:tr>
        <w:trPr>
          <w:trHeight w:val="705"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и модернизация государственного технического речного флота (повышение безопасности)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«Мероприятиях для достижения показателей прямых результатов»: </w:t>
      </w:r>
      <w:r>
        <w:br/>
      </w:r>
      <w:r>
        <w:rPr>
          <w:rFonts w:ascii="Times New Roman"/>
          <w:b w:val="false"/>
          <w:i w:val="false"/>
          <w:color w:val="000000"/>
          <w:sz w:val="28"/>
        </w:rPr>
        <w:t>
</w:t>
      </w:r>
      <w:r>
        <w:rPr>
          <w:rFonts w:ascii="Times New Roman"/>
          <w:b w:val="false"/>
          <w:i w:val="false"/>
          <w:color w:val="000000"/>
          <w:sz w:val="28"/>
        </w:rPr>
        <w:t>
      в графе «2015 год» строки «5. Пополнение торгового флота сухогрузными судами, паромами и танкерами» значение «-» заменить значением «х»;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3.</w:t>
      </w:r>
      <w:r>
        <w:rPr>
          <w:rFonts w:ascii="Times New Roman"/>
          <w:b w:val="false"/>
          <w:i w:val="false"/>
          <w:color w:val="000000"/>
          <w:sz w:val="28"/>
        </w:rPr>
        <w:t xml:space="preserve"> «Развитие услуг, производства и инфраструктуры ИКТ, базирующейся на современных технологиях, ориентированной на предоставление мультимедийных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3.1.</w:t>
      </w:r>
      <w:r>
        <w:rPr>
          <w:rFonts w:ascii="Times New Roman"/>
          <w:b w:val="false"/>
          <w:i w:val="false"/>
          <w:color w:val="000000"/>
          <w:sz w:val="28"/>
        </w:rPr>
        <w:t xml:space="preserve"> «Обеспечение достижения роста доли сектора ИКТ в ВВП, включая развитие инфокоммуникационной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xml:space="preserve">
      в графах «2013 год», «2014 год», «2015 год» строки «1. Абоненты сотовой связи (показатель «ГИК ВЭФ»)» цифры «31», «30», «30» заменить соответственно цифрами «20», «20», «20»; </w:t>
      </w:r>
      <w:r>
        <w:br/>
      </w:r>
      <w:r>
        <w:rPr>
          <w:rFonts w:ascii="Times New Roman"/>
          <w:b w:val="false"/>
          <w:i w:val="false"/>
          <w:color w:val="000000"/>
          <w:sz w:val="28"/>
        </w:rPr>
        <w:t>
</w:t>
      </w:r>
      <w:r>
        <w:rPr>
          <w:rFonts w:ascii="Times New Roman"/>
          <w:b w:val="false"/>
          <w:i w:val="false"/>
          <w:color w:val="000000"/>
          <w:sz w:val="28"/>
        </w:rPr>
        <w:t>
      в графах «2013 год», «2014 год», «2015 год» строки «5. Пропускная способность Интернета (показатель «ГИК ВЭФ»)» цифры «65», «64», «64» заменить соответственно цифрами «52», «52», «50»;</w:t>
      </w:r>
      <w:r>
        <w:br/>
      </w:r>
      <w:r>
        <w:rPr>
          <w:rFonts w:ascii="Times New Roman"/>
          <w:b w:val="false"/>
          <w:i w:val="false"/>
          <w:color w:val="000000"/>
          <w:sz w:val="28"/>
        </w:rPr>
        <w:t>
</w:t>
      </w:r>
      <w:r>
        <w:rPr>
          <w:rFonts w:ascii="Times New Roman"/>
          <w:b w:val="false"/>
          <w:i w:val="false"/>
          <w:color w:val="000000"/>
          <w:sz w:val="28"/>
        </w:rPr>
        <w:t>
      после строки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325"/>
        <w:gridCol w:w="2352"/>
        <w:gridCol w:w="713"/>
        <w:gridCol w:w="1129"/>
        <w:gridCol w:w="910"/>
        <w:gridCol w:w="932"/>
        <w:gridCol w:w="888"/>
        <w:gridCol w:w="932"/>
        <w:gridCol w:w="912"/>
      </w:tblGrid>
      <w:tr>
        <w:trPr>
          <w:trHeight w:val="405"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Индекс физического объема отрасли «Связь»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данные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 дущему году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bl>
    <w:bookmarkStart w:name="z2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6"/>
        <w:gridCol w:w="1319"/>
        <w:gridCol w:w="1124"/>
        <w:gridCol w:w="710"/>
        <w:gridCol w:w="710"/>
        <w:gridCol w:w="797"/>
        <w:gridCol w:w="711"/>
        <w:gridCol w:w="711"/>
        <w:gridCol w:w="711"/>
        <w:gridCol w:w="711"/>
      </w:tblGrid>
      <w:tr>
        <w:trPr>
          <w:trHeight w:val="405"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пользователей мобильным интернетом (показатель «ГИК ВЭФ»)</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2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3.1.3. «Внедрение цифрового вещания на всей территории Казахстана»:</w:t>
      </w:r>
      <w:r>
        <w:br/>
      </w:r>
      <w:r>
        <w:rPr>
          <w:rFonts w:ascii="Times New Roman"/>
          <w:b w:val="false"/>
          <w:i w:val="false"/>
          <w:color w:val="000000"/>
          <w:sz w:val="28"/>
        </w:rPr>
        <w:t>
</w:t>
      </w:r>
      <w:r>
        <w:rPr>
          <w:rFonts w:ascii="Times New Roman"/>
          <w:b w:val="false"/>
          <w:i w:val="false"/>
          <w:color w:val="000000"/>
          <w:sz w:val="28"/>
        </w:rPr>
        <w:t>
      в графах «2013 год», «2014 год» строки «1. Охват эфирным цифровым телерадиовещанием населения Казахстана» цифры «75», «95» заменить соответственно цифрами «58», «82»;</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5"/>
        <w:gridCol w:w="1327"/>
        <w:gridCol w:w="495"/>
        <w:gridCol w:w="496"/>
        <w:gridCol w:w="496"/>
        <w:gridCol w:w="496"/>
        <w:gridCol w:w="298"/>
        <w:gridCol w:w="715"/>
        <w:gridCol w:w="715"/>
        <w:gridCol w:w="497"/>
      </w:tblGrid>
      <w:tr>
        <w:trPr>
          <w:trHeight w:val="405"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радиотелевизионных станций, установленных для цифрового эфирного телевещания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5"/>
        <w:gridCol w:w="1327"/>
        <w:gridCol w:w="495"/>
        <w:gridCol w:w="496"/>
        <w:gridCol w:w="496"/>
        <w:gridCol w:w="496"/>
        <w:gridCol w:w="298"/>
        <w:gridCol w:w="496"/>
        <w:gridCol w:w="715"/>
        <w:gridCol w:w="716"/>
      </w:tblGrid>
      <w:tr>
        <w:trPr>
          <w:trHeight w:val="405"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РТС (радиотелевизионных станций) для цифрового эфирного телевещания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bl>
    <w:bookmarkStart w:name="z3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«Мероприятиях для достижения показателей прямых результатов»: </w:t>
      </w:r>
      <w:r>
        <w:br/>
      </w:r>
      <w:r>
        <w:rPr>
          <w:rFonts w:ascii="Times New Roman"/>
          <w:b w:val="false"/>
          <w:i w:val="false"/>
          <w:color w:val="000000"/>
          <w:sz w:val="28"/>
        </w:rPr>
        <w:t>
</w:t>
      </w:r>
      <w:r>
        <w:rPr>
          <w:rFonts w:ascii="Times New Roman"/>
          <w:b w:val="false"/>
          <w:i w:val="false"/>
          <w:color w:val="000000"/>
          <w:sz w:val="28"/>
        </w:rPr>
        <w:t>
      в графе «2015 год» строки «2. Внедрение эфирного цифрового вещания в регионах республики» значение «-» заменить значением «х»;</w:t>
      </w:r>
      <w:r>
        <w:br/>
      </w:r>
      <w:r>
        <w:rPr>
          <w:rFonts w:ascii="Times New Roman"/>
          <w:b w:val="false"/>
          <w:i w:val="false"/>
          <w:color w:val="000000"/>
          <w:sz w:val="28"/>
        </w:rPr>
        <w:t>
</w:t>
      </w:r>
      <w:r>
        <w:rPr>
          <w:rFonts w:ascii="Times New Roman"/>
          <w:b w:val="false"/>
          <w:i w:val="false"/>
          <w:color w:val="000000"/>
          <w:sz w:val="28"/>
        </w:rPr>
        <w:t>
      в графе «2015 год» строки «3. Модернизация и строительство радиотелевизионных станций (РТС)» значение «-» заменить значением «х»;</w:t>
      </w:r>
      <w:r>
        <w:br/>
      </w:r>
      <w:r>
        <w:rPr>
          <w:rFonts w:ascii="Times New Roman"/>
          <w:b w:val="false"/>
          <w:i w:val="false"/>
          <w:color w:val="000000"/>
          <w:sz w:val="28"/>
        </w:rPr>
        <w:t>
</w:t>
      </w:r>
      <w:r>
        <w:rPr>
          <w:rFonts w:ascii="Times New Roman"/>
          <w:b w:val="false"/>
          <w:i w:val="false"/>
          <w:color w:val="000000"/>
          <w:sz w:val="28"/>
        </w:rPr>
        <w:t>
      в задаче 3.1.4. «Доведение уровня отраслевой стандартизации до международных норм и формирование правовой основы, способствующей развитию ИКТ в Республике Казахстан»:</w:t>
      </w:r>
      <w:r>
        <w:br/>
      </w:r>
      <w:r>
        <w:rPr>
          <w:rFonts w:ascii="Times New Roman"/>
          <w:b w:val="false"/>
          <w:i w:val="false"/>
          <w:color w:val="000000"/>
          <w:sz w:val="28"/>
        </w:rPr>
        <w:t>
</w:t>
      </w:r>
      <w:r>
        <w:rPr>
          <w:rFonts w:ascii="Times New Roman"/>
          <w:b w:val="false"/>
          <w:i w:val="false"/>
          <w:color w:val="000000"/>
          <w:sz w:val="28"/>
        </w:rPr>
        <w:t>
      в графах «2013 год», «2014 год», «2015 год» строки «2. Количество разрабатываемых государственных стандартов в области ИКТ» цифры «1», «1» и значение «-» заменить соответственно цифрами «24», «20», «19»;</w:t>
      </w:r>
      <w:r>
        <w:br/>
      </w:r>
      <w:r>
        <w:rPr>
          <w:rFonts w:ascii="Times New Roman"/>
          <w:b w:val="false"/>
          <w:i w:val="false"/>
          <w:color w:val="000000"/>
          <w:sz w:val="28"/>
        </w:rPr>
        <w:t>
</w:t>
      </w:r>
      <w:r>
        <w:rPr>
          <w:rFonts w:ascii="Times New Roman"/>
          <w:b w:val="false"/>
          <w:i w:val="false"/>
          <w:color w:val="000000"/>
          <w:sz w:val="28"/>
        </w:rPr>
        <w:t>
      в графе «2015 год» строки «1. Разработка государственных стандартов в области ИКТ» значение «-» заменить значением «х»;</w:t>
      </w:r>
      <w:r>
        <w:br/>
      </w:r>
      <w:r>
        <w:rPr>
          <w:rFonts w:ascii="Times New Roman"/>
          <w:b w:val="false"/>
          <w:i w:val="false"/>
          <w:color w:val="000000"/>
          <w:sz w:val="28"/>
        </w:rPr>
        <w:t>
</w:t>
      </w:r>
      <w:r>
        <w:rPr>
          <w:rFonts w:ascii="Times New Roman"/>
          <w:b w:val="false"/>
          <w:i w:val="false"/>
          <w:color w:val="000000"/>
          <w:sz w:val="28"/>
        </w:rPr>
        <w:t>
      в задаче 3.1.5. «Развитие сектора ИТ – услуг, инновации и науки, включая создание условий для повышения уровня компьютерной грамотности»:</w:t>
      </w:r>
      <w:r>
        <w:br/>
      </w:r>
      <w:r>
        <w:rPr>
          <w:rFonts w:ascii="Times New Roman"/>
          <w:b w:val="false"/>
          <w:i w:val="false"/>
          <w:color w:val="000000"/>
          <w:sz w:val="28"/>
        </w:rPr>
        <w:t>
</w:t>
      </w:r>
      <w:r>
        <w:rPr>
          <w:rFonts w:ascii="Times New Roman"/>
          <w:b w:val="false"/>
          <w:i w:val="false"/>
          <w:color w:val="000000"/>
          <w:sz w:val="28"/>
        </w:rPr>
        <w:t>
      в графах «2013 год», «2014 год», «2015 год» строки «7. Уровень компьютерной грамотности населения» цифры «50», «52», «55» заменить соответственно цифрами «52», «54», «56»;</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после строки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8"/>
        <w:gridCol w:w="478"/>
        <w:gridCol w:w="478"/>
        <w:gridCol w:w="478"/>
        <w:gridCol w:w="479"/>
        <w:gridCol w:w="479"/>
      </w:tblGrid>
      <w:tr>
        <w:trPr>
          <w:trHeight w:val="420" w:hRule="atLeast"/>
        </w:trPr>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Выработка предложений по совершенствованию статистической информации по развитию инфокоммуникаций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2"/>
        <w:gridCol w:w="476"/>
        <w:gridCol w:w="477"/>
        <w:gridCol w:w="477"/>
        <w:gridCol w:w="477"/>
        <w:gridCol w:w="541"/>
      </w:tblGrid>
      <w:tr>
        <w:trPr>
          <w:trHeight w:val="255" w:hRule="atLeast"/>
        </w:trPr>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Создание профессиональных стандартов по специальностям ИКТ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Оценка потребности рынка труда в ИКТ специалистах на краткосрочный (5 лет) и долгосрочный (10 и более лет) периоды, определение потребностей в новых специальностях и внесение изменений и дополнений в государственный классификатор занятий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стратегическом направлении 4</w:t>
      </w:r>
      <w:r>
        <w:rPr>
          <w:rFonts w:ascii="Times New Roman"/>
          <w:b w:val="false"/>
          <w:i w:val="false"/>
          <w:color w:val="000000"/>
          <w:sz w:val="28"/>
        </w:rPr>
        <w:t>. «Совершенствование процессов предоставления государственных услуг, технического сопровождения и интеграция информационных систем государственных органов, в том числе создание условий и механизмов для развития информационной инфраструктуры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4.1.</w:t>
      </w:r>
      <w:r>
        <w:rPr>
          <w:rFonts w:ascii="Times New Roman"/>
          <w:b w:val="false"/>
          <w:i w:val="false"/>
          <w:color w:val="000000"/>
          <w:sz w:val="28"/>
        </w:rPr>
        <w:t xml:space="preserve"> «Повышение качества оказания государственных услуг в электронном формате и уровня функционирования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xml:space="preserve">
      строку «Коды бюджетных программ, направленных на достижение данной цели» дополнить цифрами «044», «048»; </w:t>
      </w:r>
      <w:r>
        <w:br/>
      </w:r>
      <w:r>
        <w:rPr>
          <w:rFonts w:ascii="Times New Roman"/>
          <w:b w:val="false"/>
          <w:i w:val="false"/>
          <w:color w:val="000000"/>
          <w:sz w:val="28"/>
        </w:rPr>
        <w:t>
</w:t>
      </w:r>
      <w:r>
        <w:rPr>
          <w:rFonts w:ascii="Times New Roman"/>
          <w:b w:val="false"/>
          <w:i w:val="false"/>
          <w:color w:val="000000"/>
          <w:sz w:val="28"/>
        </w:rPr>
        <w:t>
      в задаче 4.1.1. «Обеспечение безопасного доступа граждан и организаций к государственным электронным услугам посредством цифровых сертификатов»:</w:t>
      </w:r>
      <w:r>
        <w:br/>
      </w:r>
      <w:r>
        <w:rPr>
          <w:rFonts w:ascii="Times New Roman"/>
          <w:b w:val="false"/>
          <w:i w:val="false"/>
          <w:color w:val="000000"/>
          <w:sz w:val="28"/>
        </w:rPr>
        <w:t>
</w:t>
      </w:r>
      <w:r>
        <w:rPr>
          <w:rFonts w:ascii="Times New Roman"/>
          <w:b w:val="false"/>
          <w:i w:val="false"/>
          <w:color w:val="000000"/>
          <w:sz w:val="28"/>
        </w:rPr>
        <w:t>
      показатели прямых результатов дополнить строками, порядковые номера 4, 5, 6 и 7, следующего содержания:</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1536"/>
        <w:gridCol w:w="710"/>
        <w:gridCol w:w="492"/>
        <w:gridCol w:w="492"/>
        <w:gridCol w:w="384"/>
        <w:gridCol w:w="427"/>
        <w:gridCol w:w="711"/>
        <w:gridCol w:w="711"/>
        <w:gridCol w:w="711"/>
      </w:tblGrid>
      <w:tr>
        <w:trPr>
          <w:trHeight w:val="13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Подключение государственных органов к единому сall-центру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разработанных сервисов ШЭП</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интегрированных государственных баз данных и информационных систем ГО посредством ШЭП</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Развертывание альтернативных DNS-серверов, поддерживающих казахстанские доменные имена верхнего уровня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«Мероприятиях для достижения показателей прямых результатов»: </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9"/>
        <w:gridCol w:w="686"/>
        <w:gridCol w:w="686"/>
        <w:gridCol w:w="686"/>
        <w:gridCol w:w="686"/>
        <w:gridCol w:w="687"/>
      </w:tblGrid>
      <w:tr>
        <w:trPr>
          <w:trHeight w:val="90" w:hRule="atLeast"/>
        </w:trPr>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Создание информационной системы и инфраструктуры Оперативного центра обеспечения информационной безопасности для координации действий при возникновении кризисных ситуаций</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9"/>
        <w:gridCol w:w="686"/>
        <w:gridCol w:w="686"/>
        <w:gridCol w:w="686"/>
        <w:gridCol w:w="686"/>
        <w:gridCol w:w="687"/>
      </w:tblGrid>
      <w:tr>
        <w:trPr>
          <w:trHeight w:val="90" w:hRule="atLeast"/>
        </w:trPr>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Создание информационной системы и инфраструктуры Оперативного центра обеспечения информационной безопасности критически важных объектов информатизаций</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порядковые номера 18, 19, следующего содержания:</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6"/>
        <w:gridCol w:w="560"/>
        <w:gridCol w:w="602"/>
        <w:gridCol w:w="665"/>
        <w:gridCol w:w="812"/>
        <w:gridCol w:w="855"/>
      </w:tblGrid>
      <w:tr>
        <w:trPr>
          <w:trHeight w:val="9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Поддержание информационно-справочной службы для оказания консультационных услуг населению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Создание информационной системы «Мобильный офис» Правительства Республики Казахстан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раздел 5.</w:t>
      </w:r>
      <w:r>
        <w:rPr>
          <w:rFonts w:ascii="Times New Roman"/>
          <w:b w:val="false"/>
          <w:i w:val="false"/>
          <w:color w:val="000000"/>
          <w:sz w:val="28"/>
        </w:rPr>
        <w:t xml:space="preserve"> «Межведомственное взаимодействие»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15"/>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3"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1753</w:t>
      </w:r>
    </w:p>
    <w:bookmarkEnd w:id="16"/>
    <w:bookmarkStart w:name="z54" w:id="17"/>
    <w:p>
      <w:pPr>
        <w:spacing w:after="0"/>
        <w:ind w:left="0"/>
        <w:jc w:val="left"/>
      </w:pPr>
      <w:r>
        <w:rPr>
          <w:rFonts w:ascii="Times New Roman"/>
          <w:b/>
          <w:i w:val="false"/>
          <w:color w:val="000000"/>
        </w:rPr>
        <w:t xml:space="preserve"> 
5. Межведомственное взаимодействие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6"/>
        <w:gridCol w:w="3923"/>
        <w:gridCol w:w="5121"/>
      </w:tblGrid>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 установления межведомственных взаимосвязей</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Развитие транспортной инфраструктуры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Достижение опережающих темпов развития транспортно-коммуникационного комплекса</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85 % автомобильных дорог республиканского значения находятся в хорошем и удовлетворительном состоянии к 2015 году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проектов,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70 % автомобильных дорог местного значения находятся в хорошем и удовлетворительном состоянии к 2015 году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МИО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трансфертов областным бюджетам; предоставление ежеквартальной информации о состоянии дорог местного значения, находящихся в хорошем, удовлетворительном, неудовлетворительном состоянии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 республиканского значения, охваченных всеми видами ремонта</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мероприятий,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железных дорог</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МЭРТ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 объема софинансирования строительства железнодорожных линий из республиканского бюджета; развитие новых форм концессии (ГЧП) в сфере эксплуатации магистральных железнодорожных сетей посредством совершенствования законодательства по вопросам концессии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 активов железнодорожного транспорта снижен до 60 %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МИНТ, МФ</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капитальный ремонт подвижного состава за счет реализации новой тарифной политики в сфере перевозок и ежегодного повышения тарифов на перевозку грузов железнодорожным транспортом в среднем на 15 % с 2011 года по 2014 год с последующей индексацией на уровне инфляции; приобретение железнодорожных пассажирских вагонов и локомотивов за счет республиканского бюджета</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уровня развития гражданской авиации</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аэропортов, имеющих категорию ИКАО </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МФ, АРЕМ</w:t>
            </w:r>
          </w:p>
        </w:tc>
        <w:tc>
          <w:tcPr>
            <w:tcW w:w="5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технических характеристик в соответствие с требованиями ИКАО, реконструкция (строительство) взлетно-посадочных полос, пассажирских и грузовых терминалов; финансирование проектов, реализация которых предусмотрена за счет республиканского бюджета; повышение эффективности тарифной политики в отношении субъектов естественной монополии воздушного транспорта</w:t>
            </w: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международных воздушных сообщений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 аэропортов – «хабов» до 4 ед. к 2016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транзитно-транспортного потенциала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Увеличение объемов транзитных перевозок через территорию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Повышение уровня интеграции транспортного комплекса Республики Казахстан в международные транспортные сети</w:t>
            </w:r>
          </w:p>
        </w:tc>
      </w:tr>
      <w:tr>
        <w:trPr>
          <w:trHeight w:val="4485"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объемов перевозок грузов в транзитном направлении</w:t>
            </w:r>
            <w:r>
              <w:br/>
            </w:r>
            <w:r>
              <w:rPr>
                <w:rFonts w:ascii="Times New Roman"/>
                <w:b w:val="false"/>
                <w:i w:val="false"/>
                <w:color w:val="000000"/>
                <w:sz w:val="20"/>
              </w:rPr>
              <w:t>
</w:t>
            </w:r>
            <w:r>
              <w:rPr>
                <w:rFonts w:ascii="Times New Roman"/>
                <w:b w:val="false"/>
                <w:i w:val="false"/>
                <w:color w:val="000000"/>
                <w:sz w:val="20"/>
              </w:rPr>
              <w:t>2. Увеличение дохода от транзитных перевозок</w:t>
            </w:r>
            <w:r>
              <w:br/>
            </w:r>
            <w:r>
              <w:rPr>
                <w:rFonts w:ascii="Times New Roman"/>
                <w:b w:val="false"/>
                <w:i w:val="false"/>
                <w:color w:val="000000"/>
                <w:sz w:val="20"/>
              </w:rPr>
              <w:t>
</w:t>
            </w:r>
            <w:r>
              <w:rPr>
                <w:rFonts w:ascii="Times New Roman"/>
                <w:b w:val="false"/>
                <w:i w:val="false"/>
                <w:color w:val="000000"/>
                <w:sz w:val="20"/>
              </w:rPr>
              <w:t>3. Увеличение средней скорости движения грузовых поездов по транзитным участкам железных дорог</w:t>
            </w:r>
            <w:r>
              <w:br/>
            </w:r>
            <w:r>
              <w:rPr>
                <w:rFonts w:ascii="Times New Roman"/>
                <w:b w:val="false"/>
                <w:i w:val="false"/>
                <w:color w:val="000000"/>
                <w:sz w:val="20"/>
              </w:rPr>
              <w:t>
</w:t>
            </w:r>
            <w:r>
              <w:rPr>
                <w:rFonts w:ascii="Times New Roman"/>
                <w:b w:val="false"/>
                <w:i w:val="false"/>
                <w:color w:val="000000"/>
                <w:sz w:val="20"/>
              </w:rPr>
              <w:t>4. Увеличение средней скорости движения грузов по автомобильным транзитным коридорам</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МИНТ, МФ (КТК), АО ФНБ «Самрук-Казына» (по согласованию)</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 осуществление согласованной международной транспортной политики;</w:t>
            </w:r>
            <w:r>
              <w:br/>
            </w:r>
            <w:r>
              <w:rPr>
                <w:rFonts w:ascii="Times New Roman"/>
                <w:b w:val="false"/>
                <w:i w:val="false"/>
                <w:color w:val="000000"/>
                <w:sz w:val="20"/>
              </w:rPr>
              <w:t>
</w:t>
            </w:r>
            <w:r>
              <w:rPr>
                <w:rFonts w:ascii="Times New Roman"/>
                <w:b w:val="false"/>
                <w:i w:val="false"/>
                <w:color w:val="000000"/>
                <w:sz w:val="20"/>
              </w:rPr>
              <w:t>МИНТ – формирование системы мультимодальных транспортно-логистических центров, маршрутов;</w:t>
            </w:r>
            <w:r>
              <w:br/>
            </w:r>
            <w:r>
              <w:rPr>
                <w:rFonts w:ascii="Times New Roman"/>
                <w:b w:val="false"/>
                <w:i w:val="false"/>
                <w:color w:val="000000"/>
                <w:sz w:val="20"/>
              </w:rPr>
              <w:t>
</w:t>
            </w:r>
            <w:r>
              <w:rPr>
                <w:rFonts w:ascii="Times New Roman"/>
                <w:b w:val="false"/>
                <w:i w:val="false"/>
                <w:color w:val="000000"/>
                <w:sz w:val="20"/>
              </w:rPr>
              <w:t>МФ (КТК) – приграничное сотрудничество, упрощение таможенных процедур при пересечении границ;</w:t>
            </w:r>
            <w:r>
              <w:br/>
            </w:r>
            <w:r>
              <w:rPr>
                <w:rFonts w:ascii="Times New Roman"/>
                <w:b w:val="false"/>
                <w:i w:val="false"/>
                <w:color w:val="000000"/>
                <w:sz w:val="20"/>
              </w:rPr>
              <w:t>
</w:t>
            </w:r>
            <w:r>
              <w:rPr>
                <w:rFonts w:ascii="Times New Roman"/>
                <w:b w:val="false"/>
                <w:i w:val="false"/>
                <w:color w:val="000000"/>
                <w:sz w:val="20"/>
              </w:rPr>
              <w:t>АО «ФНБ «Самрук-Казына» – привлечение мирового опыта и капитала (участники, партнеры, консультанты, консорциумы) на реализацию международных транзитных проектов, формирование новых транзитных транспортных магистралей континентального значения, транс и евроазиатских сухопутных транспортных коридоров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Развитие услуг, производства и инфраструктуры ИКТ, базирующейся на современных технологиях, ориентированной на предоставление мультимедийных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достижения роста доли сектора ИКТ в ВВП, включая развитие инфокоммуникационной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3.1.5. Развитие сектора ИТ – услуг, инновации и науки, включая создание условий для повышения уровня компьютерной грамотности</w:t>
            </w:r>
          </w:p>
        </w:tc>
      </w:tr>
      <w:tr>
        <w:trPr>
          <w:trHeight w:val="30" w:hRule="atLeast"/>
        </w:trPr>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казахстанского содержания в IT-услугах</w:t>
            </w:r>
            <w:r>
              <w:br/>
            </w:r>
            <w:r>
              <w:rPr>
                <w:rFonts w:ascii="Times New Roman"/>
                <w:b w:val="false"/>
                <w:i w:val="false"/>
                <w:color w:val="000000"/>
                <w:sz w:val="20"/>
              </w:rPr>
              <w:t>
</w:t>
            </w:r>
            <w:r>
              <w:rPr>
                <w:rFonts w:ascii="Times New Roman"/>
                <w:b w:val="false"/>
                <w:i w:val="false"/>
                <w:color w:val="000000"/>
                <w:sz w:val="20"/>
              </w:rPr>
              <w:t>2. Доля казахстанского содержания в объеме коробочного (лицензионного) ПО</w:t>
            </w:r>
            <w:r>
              <w:br/>
            </w:r>
            <w:r>
              <w:rPr>
                <w:rFonts w:ascii="Times New Roman"/>
                <w:b w:val="false"/>
                <w:i w:val="false"/>
                <w:color w:val="000000"/>
                <w:sz w:val="20"/>
              </w:rPr>
              <w:t>
</w:t>
            </w:r>
            <w:r>
              <w:rPr>
                <w:rFonts w:ascii="Times New Roman"/>
                <w:b w:val="false"/>
                <w:i w:val="false"/>
                <w:color w:val="000000"/>
                <w:sz w:val="20"/>
              </w:rPr>
              <w:t>3. Доля казахстанского содержания в объеме сектора IT-оборудования</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МЭРТ, МФ</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механизмов принципов государственно-частного партнерства для реализации IT-проектов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мер по поддержке отечественных IT-компаний, работающих на экспорт, по получению заказов при предоставлении казахстанских кредитов зарубежным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повышению доли казахстанского содержания в ИТ-услугах, в объемах коробочного (лицензионного) ПО и сектора IT-оборудования</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студентов, обучающихся по IT –специальностям на основе государственного заказа по международным стандартам iCarnegie (к предыдущему году).</w:t>
            </w:r>
            <w:r>
              <w:br/>
            </w:r>
            <w:r>
              <w:rPr>
                <w:rFonts w:ascii="Times New Roman"/>
                <w:b w:val="false"/>
                <w:i w:val="false"/>
                <w:color w:val="000000"/>
                <w:sz w:val="20"/>
              </w:rPr>
              <w:t>
</w:t>
            </w:r>
            <w:r>
              <w:rPr>
                <w:rFonts w:ascii="Times New Roman"/>
                <w:b w:val="false"/>
                <w:i w:val="false"/>
                <w:color w:val="000000"/>
                <w:sz w:val="20"/>
              </w:rPr>
              <w:t>2. Количество научно-исследовательских работ в МУИТ.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выделении грантов для обучения студентов в Международном университете информационных технологий.</w:t>
            </w:r>
            <w:r>
              <w:br/>
            </w:r>
            <w:r>
              <w:rPr>
                <w:rFonts w:ascii="Times New Roman"/>
                <w:b w:val="false"/>
                <w:i w:val="false"/>
                <w:color w:val="000000"/>
                <w:sz w:val="20"/>
              </w:rPr>
              <w:t>
</w:t>
            </w:r>
            <w:r>
              <w:rPr>
                <w:rFonts w:ascii="Times New Roman"/>
                <w:b w:val="false"/>
                <w:i w:val="false"/>
                <w:color w:val="000000"/>
                <w:sz w:val="20"/>
              </w:rPr>
              <w:t>Разработка механизмов государственной поддержки НИОКР в сфере ИКТ.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Совершенствование процессов предоставления государственных услуг, технического сопровождения и интеграции информационных систем государственных органов, в том числе создание условий и механизмов для развития информационной инфраструктуры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качества оказания государственных услуг в электронном формате и уровня функционирования центров обслуживания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Обеспечение безопасного доступа граждан и организаций к государственным электронным услугам посредством цифровых сертификатов</w:t>
            </w:r>
          </w:p>
        </w:tc>
      </w:tr>
      <w:tr>
        <w:trPr>
          <w:trHeight w:val="30" w:hRule="atLeast"/>
        </w:trPr>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оказанных в электронном виде социально значимых государственных услуг от общего количества переведенных в электронный формат социально значимых государственных услуг</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увеличение количества предоставляемых государственных электронных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перечня социально значимых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МЮ, МТСЗН, МФ, МОН, МЗ, АУЗР</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 реализация мер по оказанию государственных услуг в электронном формате</w:t>
            </w:r>
          </w:p>
        </w:tc>
      </w:tr>
      <w:tr>
        <w:trPr>
          <w:trHeight w:val="30" w:hRule="atLeast"/>
        </w:trPr>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лицензий, выдаваемых в электронном виде, от общего количества выдаваемых лицензий</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и местные исполнительные органы – лицензиары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лицензий в электронном виде посредством «Е-лицензирования»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 Обеспечение взаимодействия с международными информационными системами в рамках Таможенного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4.2.1. Создание Межгосударственного шлюза по обмену информацией в рамках Таможенного союза</w:t>
            </w:r>
          </w:p>
        </w:tc>
      </w:tr>
      <w:tr>
        <w:trPr>
          <w:trHeight w:val="30" w:hRule="atLeast"/>
        </w:trPr>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Ввод в промышленную эксплуатацию ИС «Межгосударственный шлюз по обмену информацией в рамках Таможенного союза»</w:t>
            </w:r>
            <w:r>
              <w:br/>
            </w:r>
            <w:r>
              <w:rPr>
                <w:rFonts w:ascii="Times New Roman"/>
                <w:b w:val="false"/>
                <w:i w:val="false"/>
                <w:color w:val="000000"/>
                <w:sz w:val="20"/>
              </w:rPr>
              <w:t>
</w:t>
            </w:r>
            <w:r>
              <w:rPr>
                <w:rFonts w:ascii="Times New Roman"/>
                <w:b w:val="false"/>
                <w:i w:val="false"/>
                <w:color w:val="000000"/>
                <w:sz w:val="20"/>
              </w:rPr>
              <w:t>2. Количество интегрированных ИС ГО межгосударственным шлюзом для обмена информацией в рамках Таможенного союза</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Межгосударственного шлюза для обмена информацией в рамках Таможенного союза</w:t>
            </w:r>
          </w:p>
        </w:tc>
      </w:tr>
      <w:tr>
        <w:trPr>
          <w:trHeight w:val="30" w:hRule="atLeast"/>
        </w:trPr>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 заинтересованные ГО</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информационных систем госорганов с Межгосударственным шлюзом для обмена информацией в рамках Таможенного союза</w:t>
            </w:r>
          </w:p>
        </w:tc>
      </w:tr>
    </w:tbl>
    <w:bookmarkStart w:name="z55"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1753</w:t>
      </w:r>
    </w:p>
    <w:bookmarkEnd w:id="18"/>
    <w:p>
      <w:pPr>
        <w:spacing w:after="0"/>
        <w:ind w:left="0"/>
        <w:jc w:val="left"/>
      </w:pPr>
      <w:r>
        <w:rPr>
          <w:rFonts w:ascii="Times New Roman"/>
          <w:b/>
          <w:i w:val="false"/>
          <w:color w:val="000000"/>
        </w:rPr>
        <w:t xml:space="preserve"> Раздел 7. Бюджетные программы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2298"/>
        <w:gridCol w:w="1266"/>
        <w:gridCol w:w="1148"/>
        <w:gridCol w:w="1008"/>
        <w:gridCol w:w="949"/>
        <w:gridCol w:w="1029"/>
        <w:gridCol w:w="1049"/>
        <w:gridCol w:w="969"/>
        <w:gridCol w:w="1109"/>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контроля, развития инфраструктуры и конкурентного рынка в области транспорта, коммуникаций, связи и информатизации».</w:t>
            </w:r>
            <w:r>
              <w:br/>
            </w:r>
            <w:r>
              <w:rPr>
                <w:rFonts w:ascii="Times New Roman"/>
                <w:b w:val="false"/>
                <w:i w:val="false"/>
                <w:color w:val="000000"/>
                <w:sz w:val="20"/>
              </w:rPr>
              <w:t>
</w:t>
            </w:r>
            <w:r>
              <w:rPr>
                <w:rFonts w:ascii="Times New Roman"/>
                <w:b w:val="false"/>
                <w:i w:val="false"/>
                <w:color w:val="000000"/>
                <w:sz w:val="20"/>
              </w:rPr>
              <w:t>100 «Обеспечение деятельности уполномоченного органа по формированию политики, координации, контроля, развития инфраструктуры и конкурентного рынка в области транспорта, коммуникаций, связи и информатизации».</w:t>
            </w:r>
            <w:r>
              <w:br/>
            </w:r>
            <w:r>
              <w:rPr>
                <w:rFonts w:ascii="Times New Roman"/>
                <w:b w:val="false"/>
                <w:i w:val="false"/>
                <w:color w:val="000000"/>
                <w:sz w:val="20"/>
              </w:rPr>
              <w:t>
</w:t>
            </w:r>
            <w:r>
              <w:rPr>
                <w:rFonts w:ascii="Times New Roman"/>
                <w:b w:val="false"/>
                <w:i w:val="false"/>
                <w:color w:val="000000"/>
                <w:sz w:val="20"/>
              </w:rPr>
              <w:t>103 «Проведение социологических, аналитических исследований и оказание консалтинговых услуг».</w:t>
            </w:r>
            <w:r>
              <w:br/>
            </w:r>
            <w:r>
              <w:rPr>
                <w:rFonts w:ascii="Times New Roman"/>
                <w:b w:val="false"/>
                <w:i w:val="false"/>
                <w:color w:val="000000"/>
                <w:sz w:val="20"/>
              </w:rPr>
              <w:t>
</w:t>
            </w: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ведомств и территориальных органов Министерства, разработка государственных и отраслевых (секторальных) программ развития транспортно-коммуникационного комплекса, связи и информатизации; разработка законодательных актов, предложений по совершенствованию применения законодательства, а также разработка и принятие нормативных правовых актов, технических условий и иных нормативов в области транспортно-коммуникационного комплекса, связи и информатизации по вопросам, входящим в компетенцию Министерства; разработка прогнозов и своевременное качественное обеспечение потребностей государственных нужд и экономики в перевозках и коммуникациях; разработка стандартов и правил; по решениям Правительства осуществление функций, связанных с владением и пользованием государственными долями и пакетами акций юридических лиц транспортно-коммуникационного комплекса, связи и информатизации;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Системно-техническое обслуживание и ремонт системно-вычислительной техники. Администрирование, сопровождение локально-вычислительной сети, информационных систем и программных продуктов</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20" w:hRule="atLeast"/>
        </w:trPr>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Оказание услуг по формированию политики в области транспорта, коммуникаций, связи и информатизации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Рассматриваемые технические документации (технико-экономическое обоснование, техническое задание, технические спецификации) на информационные ресурсы и информационные системы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видеоконференций с ЦОН по координации деятельности ЦОН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приема граждан в режиме online первыми руководителями центральных и местных государственных органов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Заключение и подписание меморандумов, совместных приказов с государственными органами и общественными объединениями по улучшению деятельности ЦОН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Разработка Правил оказания услуг связи (телефонной, сотовой, передачи данных и доступа к сети Интернет)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разрабатываемых государственных стандартов в области ИКТ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Проведение аналитического исследования мирового опыта развития ИКТ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Разработка словаря ИКТ терминов на государственном языке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Создание отраслевой рамки квалификаций по 3 направлениям ИКТ (ИТ сфера, электронная техника и автоматизация, связь и коммуникаций согласовано ГК 05-2008)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Оценка потребности рынка труда в ИКТ специалистах на краткосрочный (5 лет) и долгосрочный (10 и более лет) периоды, определение потребностей в новых специальностях и внесение изменений и дополнения в государственный классификатор занятий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конечного результата </w:t>
            </w:r>
            <w:r>
              <w:br/>
            </w:r>
            <w:r>
              <w:rPr>
                <w:rFonts w:ascii="Times New Roman"/>
                <w:b w:val="false"/>
                <w:i w:val="false"/>
                <w:color w:val="000000"/>
                <w:sz w:val="20"/>
              </w:rPr>
              <w:t>
</w:t>
            </w:r>
            <w:r>
              <w:rPr>
                <w:rFonts w:ascii="Times New Roman"/>
                <w:b w:val="false"/>
                <w:i w:val="false"/>
                <w:color w:val="000000"/>
                <w:sz w:val="20"/>
              </w:rPr>
              <w:t>1. Эффективная реализация государственной политики в области транспорта, коммуникаций, связи и информатизации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Гармонизированные стандарты с международными требованиями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Степень удовлетворенности граждан предоставлением государственных услуг ЦОН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1. Улучшение качества принятия управленческих решений и ускорение процесса принятия решений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Безотказное функционирование сетей телекоммуникаций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Средние затраты на содержание одного государственного служащего в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Эффективное выполнение возложенных на Министерство задач и функций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Средние затраты на разработку 1 стандарта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2 167 081,7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2 504 480,1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3 830 637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4 305 938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4 041 854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4 158 287</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2832"/>
        <w:gridCol w:w="1141"/>
        <w:gridCol w:w="1019"/>
        <w:gridCol w:w="1111"/>
        <w:gridCol w:w="1134"/>
        <w:gridCol w:w="1014"/>
        <w:gridCol w:w="1054"/>
        <w:gridCol w:w="1115"/>
        <w:gridCol w:w="1184"/>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«Развитие автомобильных дорог на республиканском уровне»</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республиканского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дорожно-строительных работ на автомобильных дорогах республиканского значения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Завершенные участки по строительству и реконструкции дорог</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Затраты на 1 км автомобильной дороги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 км</w:t>
            </w:r>
            <w:r>
              <w:br/>
            </w:r>
            <w:r>
              <w:rPr>
                <w:rFonts w:ascii="Times New Roman"/>
                <w:b w:val="false"/>
                <w:i w:val="false"/>
                <w:color w:val="000000"/>
                <w:sz w:val="20"/>
              </w:rPr>
              <w:t>
</w:t>
            </w:r>
            <w:r>
              <w:rPr>
                <w:rFonts w:ascii="Times New Roman"/>
                <w:b w:val="false"/>
                <w:i w:val="false"/>
                <w:color w:val="000000"/>
                <w:sz w:val="20"/>
              </w:rPr>
              <w:t>строительства дорог:</w:t>
            </w:r>
            <w:r>
              <w:br/>
            </w:r>
            <w:r>
              <w:rPr>
                <w:rFonts w:ascii="Times New Roman"/>
                <w:b w:val="false"/>
                <w:i w:val="false"/>
                <w:color w:val="000000"/>
                <w:sz w:val="20"/>
              </w:rPr>
              <w:t>
</w:t>
            </w:r>
            <w:r>
              <w:rPr>
                <w:rFonts w:ascii="Times New Roman"/>
                <w:b w:val="false"/>
                <w:i w:val="false"/>
                <w:color w:val="000000"/>
                <w:sz w:val="20"/>
              </w:rPr>
              <w:t>- I категории</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r>
              <w:br/>
            </w:r>
            <w:r>
              <w:rPr>
                <w:rFonts w:ascii="Times New Roman"/>
                <w:b w:val="false"/>
                <w:i w:val="false"/>
                <w:color w:val="000000"/>
                <w:sz w:val="20"/>
              </w:rPr>
              <w:t>
</w:t>
            </w:r>
            <w:r>
              <w:rPr>
                <w:rFonts w:ascii="Times New Roman"/>
                <w:b w:val="false"/>
                <w:i w:val="false"/>
                <w:color w:val="000000"/>
                <w:sz w:val="20"/>
              </w:rPr>
              <w:t>реконструкции дорог:</w:t>
            </w: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70 566 507,6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123 681 027,3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172 529 182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220 254 641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322"/>
        <w:gridCol w:w="744"/>
        <w:gridCol w:w="1582"/>
        <w:gridCol w:w="1560"/>
        <w:gridCol w:w="1583"/>
        <w:gridCol w:w="1733"/>
        <w:gridCol w:w="1540"/>
        <w:gridCol w:w="1540"/>
        <w:gridCol w:w="1152"/>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 озеленению, содержанию, управлению эксплуатацией автомобильных дорог и мостов республиканского значения, проектно-изыскательские работы по капитальному ремонту дорог и мостов и прохождение государственной экспертизы</w:t>
            </w:r>
          </w:p>
        </w:tc>
      </w:tr>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Проведение дорожно-ремонтных работ на автомобильных дорогах республиканского значения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платной системы на отдельных участках автомобильных дорог республиканского значения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среднем автомобильных дорог республиканского значения в хорошем и удовлетворительном состоянии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Протяженность дорог, где завершены ремонтно-восстановительные работы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Затраты на 1 км автомобильной дороги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21 948 865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4006"/>
        <w:gridCol w:w="901"/>
        <w:gridCol w:w="1114"/>
        <w:gridCol w:w="1114"/>
        <w:gridCol w:w="905"/>
        <w:gridCol w:w="905"/>
        <w:gridCol w:w="905"/>
        <w:gridCol w:w="1118"/>
        <w:gridCol w:w="1120"/>
      </w:tblGrid>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«Обеспечение безопасности полетов воздушных судов»</w:t>
            </w:r>
          </w:p>
        </w:tc>
      </w:tr>
      <w:tr>
        <w:trPr>
          <w:trHeight w:val="765"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Направлена на реализацию стратегического направления по обеспечению безопасности транспортных процессов, достижение целей по обеспечению безопасности условий передвижения пассажиров и грузов на всех видах транспорта и выполнение задач по повышению безопасности в гражданской авиации</w:t>
            </w:r>
          </w:p>
        </w:tc>
      </w:tr>
      <w:tr>
        <w:trPr>
          <w:trHeight w:val="30" w:hRule="atLeast"/>
        </w:trPr>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Повышение квалификации персонала РГП «Центр по обеспечению безопасности полетов» с выдачей подтверждающих сертификатов (кол-во курсов)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библиотеки ИКАО для получения и формирования базы руководящих документов в области гражданской авиации для РГП «Центр по обеспечению безопасности полетов»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Количество работников РГП «Центр по обеспечению безопасности полетов», прошедших повышение квалификации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Количество полученных сертификатов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1.Квалифицированный персонал - допуски по типам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2.Мониторинг поправок к стандартам ИКАО и уведомление ИКАО о существующих различиях со стандартами ИКАО (кол-во различий)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900"/>
        <w:gridCol w:w="1508"/>
        <w:gridCol w:w="1298"/>
        <w:gridCol w:w="1115"/>
        <w:gridCol w:w="1115"/>
        <w:gridCol w:w="1115"/>
        <w:gridCol w:w="1116"/>
        <w:gridCol w:w="1116"/>
        <w:gridCol w:w="1116"/>
      </w:tblGrid>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«Обеспечение водных путей в судоходном состоянии и содержание шлюзов»</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на внутренних водных путях.</w:t>
            </w:r>
            <w:r>
              <w:br/>
            </w:r>
            <w:r>
              <w:rPr>
                <w:rFonts w:ascii="Times New Roman"/>
                <w:b w:val="false"/>
                <w:i w:val="false"/>
                <w:color w:val="000000"/>
                <w:sz w:val="20"/>
              </w:rPr>
              <w:t>
</w:t>
            </w:r>
            <w:r>
              <w:rPr>
                <w:rFonts w:ascii="Times New Roman"/>
                <w:b w:val="false"/>
                <w:i w:val="false"/>
                <w:color w:val="000000"/>
                <w:sz w:val="20"/>
              </w:rPr>
              <w:t>Обеспечение гарантированных габаритов судового хода посредством выставления (снятия) и содержания знаков навигационного оборудования; выполнения дноуглубительных (землечерпательных), выправительных, дноочистительных и тральных работ; содержания судоходных гидротехнических сооружений (шлюзов) в безопасном рабочем состоянии</w:t>
            </w:r>
          </w:p>
        </w:tc>
      </w:tr>
      <w:tr>
        <w:trPr>
          <w:trHeight w:val="30" w:hRule="atLeast"/>
        </w:trPr>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 xml:space="preserve">1. Выставление (снятие) и обслуживание знаков навигационного оборудования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сут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Работы по дноуглублению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Выправительные работы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Дноочистительные работы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Тральные работы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русловых проектно-изыскательских работ</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Содержание, текущий ремонт и обеспечение безаварийной работы судоходных шлюзов</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Ремонт флота (текущий, средний, капитальный)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Обновление и модернизация государственного технического речного флота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Продолжительность навигационного периода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сут.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Отсутствие аварийных случаев, связанных с обеспечением безопасности судоходства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Протяженность водных путей с гарантированными габаритами судового хода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Обеспеченность водных путей гарантированными габаритами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5 018 655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4 934 288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4 766 865</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871"/>
        <w:gridCol w:w="1128"/>
        <w:gridCol w:w="1329"/>
        <w:gridCol w:w="1330"/>
        <w:gridCol w:w="1330"/>
        <w:gridCol w:w="1330"/>
        <w:gridCol w:w="1147"/>
        <w:gridCol w:w="1330"/>
        <w:gridCol w:w="1354"/>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«Строительство и реконструкция инфраструктуры воздушного транспорта»</w:t>
            </w:r>
          </w:p>
        </w:tc>
      </w:tr>
      <w:tr>
        <w:trPr>
          <w:trHeight w:val="555"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w:t>
            </w:r>
          </w:p>
        </w:tc>
      </w:tr>
      <w:tr>
        <w:trPr>
          <w:trHeight w:val="405"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05" w:hRule="atLeast"/>
        </w:trPr>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Количество обслуженных пассажиров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 xml:space="preserve">Количество реконструированных аэропортов </w:t>
            </w:r>
            <w:r>
              <w:br/>
            </w:r>
            <w:r>
              <w:rPr>
                <w:rFonts w:ascii="Times New Roman"/>
                <w:b w:val="false"/>
                <w:i w:val="false"/>
                <w:color w:val="000000"/>
                <w:sz w:val="20"/>
              </w:rPr>
              <w:t>
</w:t>
            </w:r>
            <w:r>
              <w:rPr>
                <w:rFonts w:ascii="Times New Roman"/>
                <w:b w:val="false"/>
                <w:i w:val="false"/>
                <w:color w:val="000000"/>
                <w:sz w:val="20"/>
              </w:rPr>
              <w:t>переходящие проекты: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проекты: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Реконструкция искусственной взлетно-посадочной полосы (категория ИКАО)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аэровокзала аэропорта (пропускная способность)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час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После реконструкции увеличивается классификационное число искусственного покрытия (PCN), характеризующее несущую способность ВПП. Чем больше PCN, тем больше и тяжелее типы воздушных судов может принимать данный аэропорт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Пропускная способность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час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503"/>
        <w:gridCol w:w="1110"/>
        <w:gridCol w:w="1511"/>
        <w:gridCol w:w="1304"/>
        <w:gridCol w:w="1511"/>
        <w:gridCol w:w="1304"/>
        <w:gridCol w:w="1304"/>
        <w:gridCol w:w="1125"/>
        <w:gridCol w:w="1265"/>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«Субсидирование железнодорожных пассажирских перевозок по социально значимым межобластным сообщениям»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железнодорожных пассажирских перевозок по социально значимым сообщениям</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маршрутов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Перевезено пассажиров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Пассажирооборот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Качество выполнения пассажирских перевозок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Проведение КВР и приобретение вагонов АО «ПЛВК» за счет увеличения арендной ставки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 ваг./ приобр. ваг</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Применение временно-понижающего коэффициента к тарифу МЖС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платы за услуги локомотивной тяги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к базовому 2011 году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тарифов на ж/д пассажирские перевозки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субсидий на 1 пкм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31 000 000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028"/>
        <w:gridCol w:w="1215"/>
        <w:gridCol w:w="1220"/>
        <w:gridCol w:w="1220"/>
        <w:gridCol w:w="1202"/>
        <w:gridCol w:w="1202"/>
        <w:gridCol w:w="1202"/>
        <w:gridCol w:w="1202"/>
        <w:gridCol w:w="1181"/>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«Прикладные научные исследования в области транспорта и коммуникаций»</w:t>
            </w:r>
          </w:p>
        </w:tc>
      </w:tr>
      <w:tr>
        <w:trPr>
          <w:trHeight w:val="3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в области транспорта и коммуникаций</w:t>
            </w:r>
          </w:p>
        </w:tc>
      </w:tr>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05" w:hRule="atLeast"/>
        </w:trPr>
        <w:tc>
          <w:tcPr>
            <w:tcW w:w="0" w:type="auto"/>
            <w:vMerge/>
            <w:tcBorders>
              <w:top w:val="nil"/>
              <w:left w:val="single" w:color="cfcfcf" w:sz="5"/>
              <w:bottom w:val="single" w:color="cfcfcf" w:sz="5"/>
              <w:right w:val="single" w:color="cfcfcf" w:sz="5"/>
            </w:tcBorders>
          </w:tc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 в области транспорта и коммуникаций, в том числе:</w:t>
            </w:r>
            <w:r>
              <w:br/>
            </w:r>
            <w:r>
              <w:rPr>
                <w:rFonts w:ascii="Times New Roman"/>
                <w:b w:val="false"/>
                <w:i w:val="false"/>
                <w:color w:val="000000"/>
                <w:sz w:val="20"/>
              </w:rPr>
              <w:t>
</w:t>
            </w:r>
            <w:r>
              <w:rPr>
                <w:rFonts w:ascii="Times New Roman"/>
                <w:b w:val="false"/>
                <w:i w:val="false"/>
                <w:color w:val="000000"/>
                <w:sz w:val="20"/>
              </w:rPr>
              <w:t>переходящие темы:</w:t>
            </w:r>
            <w:r>
              <w:br/>
            </w:r>
            <w:r>
              <w:rPr>
                <w:rFonts w:ascii="Times New Roman"/>
                <w:b w:val="false"/>
                <w:i w:val="false"/>
                <w:color w:val="000000"/>
                <w:sz w:val="20"/>
              </w:rPr>
              <w:t>
</w:t>
            </w:r>
            <w:r>
              <w:rPr>
                <w:rFonts w:ascii="Times New Roman"/>
                <w:b w:val="false"/>
                <w:i w:val="false"/>
                <w:color w:val="000000"/>
                <w:sz w:val="20"/>
              </w:rPr>
              <w:t>- автодорожная отрасль;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транзитный потенциал;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отрасль;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темы:</w:t>
            </w:r>
            <w:r>
              <w:br/>
            </w:r>
            <w:r>
              <w:rPr>
                <w:rFonts w:ascii="Times New Roman"/>
                <w:b w:val="false"/>
                <w:i w:val="false"/>
                <w:color w:val="000000"/>
                <w:sz w:val="20"/>
              </w:rPr>
              <w:t>
</w:t>
            </w:r>
            <w:r>
              <w:rPr>
                <w:rFonts w:ascii="Times New Roman"/>
                <w:b w:val="false"/>
                <w:i w:val="false"/>
                <w:color w:val="000000"/>
                <w:sz w:val="20"/>
              </w:rPr>
              <w:t>- автомобильный транспорт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 xml:space="preserve">в области транспорта и коммуникаций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Отчеты НИР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Положительное заключение государственной научно-технической экспертизы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Средняя стоимость проведения</w:t>
            </w:r>
            <w:r>
              <w:br/>
            </w:r>
            <w:r>
              <w:rPr>
                <w:rFonts w:ascii="Times New Roman"/>
                <w:b w:val="false"/>
                <w:i w:val="false"/>
                <w:color w:val="000000"/>
                <w:sz w:val="20"/>
              </w:rPr>
              <w:t>
</w:t>
            </w:r>
            <w:r>
              <w:rPr>
                <w:rFonts w:ascii="Times New Roman"/>
                <w:b w:val="false"/>
                <w:i w:val="false"/>
                <w:color w:val="000000"/>
                <w:sz w:val="20"/>
              </w:rPr>
              <w:t>прикладных научных исследований</w:t>
            </w:r>
            <w:r>
              <w:br/>
            </w:r>
            <w:r>
              <w:rPr>
                <w:rFonts w:ascii="Times New Roman"/>
                <w:b w:val="false"/>
                <w:i w:val="false"/>
                <w:color w:val="000000"/>
                <w:sz w:val="20"/>
              </w:rPr>
              <w:t>
</w:t>
            </w:r>
            <w:r>
              <w:rPr>
                <w:rFonts w:ascii="Times New Roman"/>
                <w:b w:val="false"/>
                <w:i w:val="false"/>
                <w:color w:val="000000"/>
                <w:sz w:val="20"/>
              </w:rPr>
              <w:t xml:space="preserve">по одной теме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 чел/час привлекаемых консультантов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830"/>
        <w:gridCol w:w="986"/>
        <w:gridCol w:w="1224"/>
        <w:gridCol w:w="1433"/>
        <w:gridCol w:w="1224"/>
        <w:gridCol w:w="1225"/>
        <w:gridCol w:w="1012"/>
        <w:gridCol w:w="1226"/>
        <w:gridCol w:w="1017"/>
      </w:tblGrid>
      <w:tr>
        <w:trPr>
          <w:trHeight w:val="25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«Капитальные расходы Министерства транспорта и коммуникаций Республики Казахстан»</w:t>
            </w:r>
          </w:p>
        </w:tc>
      </w:tr>
      <w:tr>
        <w:trPr>
          <w:trHeight w:val="60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 средств, лицензионного программного обеспечения для обеспечения деятельности сотрудников центрального аппарата, ведомств и территориальных подразделений. Капитальный ремонт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 для создания нормальных трудовых и социально-бытовых условий для государственных служащих. Оснащение органов транспортного контроля</w:t>
            </w:r>
          </w:p>
        </w:tc>
      </w:tr>
      <w:tr>
        <w:trPr>
          <w:trHeight w:val="285"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Проведение капитального ремонта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Оснащение органов транспортного контроля передвижными постами транспортного контроля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Оснащение центрального аппарата и территориальных подразделений комитетов Министерства транспорта и коммуникаций Республики Казахстан офисной мебелью, вычислительным и другим оборудованием, транспортными средствами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Приобретение служебно-разъездных катеров для территориальных инспекций Комитета транспортного контроля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Приобретение передвижных постов транспортного контроля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офисной мебели, вычислительного и другого оборудования, транспортных средств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Оснащение служебно-разъездными катерами для территориальных инспекций Комитета транспортного контроля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1. Приобретение передвижных постов транспортного контроля, оснащенных весовым оборудованием, газоанализатором, дымомером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Материально-техническое оснащение Министерства транспорта и коммуникаций Республики Казахстан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Приобретение служебно-разъездных катеров для территориальных инспекций Комитета транспортного контроля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1. Средние затраты на приобретение одного передвижного поста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Средние затраты на приобретение основных средств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Средние затраты на приобретение служебно-разъездного катера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447 163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2736"/>
        <w:gridCol w:w="1236"/>
        <w:gridCol w:w="1064"/>
        <w:gridCol w:w="1384"/>
        <w:gridCol w:w="1184"/>
        <w:gridCol w:w="944"/>
        <w:gridCol w:w="1165"/>
        <w:gridCol w:w="1305"/>
        <w:gridCol w:w="945"/>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 трансферты областным бюджетам, бюджетам городов Астаны и Алматы на капитальный и средний ремонт автомобильных дорог областного, районного значения и улиц населенных пунктов»</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 озеленению, содержанию, управлению эксплуатацией автомобильных дорог и мостов республиканского значения, проектно-изыскательские работы по капитальному ремонту дорог и мостов и прохождение государственной экспертизы</w:t>
            </w:r>
          </w:p>
        </w:tc>
      </w:tr>
      <w:tr>
        <w:trPr>
          <w:trHeight w:val="30"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дорожно-ремонтных работ на автомобильных дорогах областного и районного значения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Протяженность дорог, где завершены ремонтно-восстановительные работы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Затраты на 1 км автомобильной дороги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19 412 481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18 117 617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23 704 264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19 512 114</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3672"/>
        <w:gridCol w:w="1039"/>
        <w:gridCol w:w="981"/>
        <w:gridCol w:w="1021"/>
        <w:gridCol w:w="1069"/>
        <w:gridCol w:w="998"/>
        <w:gridCol w:w="1085"/>
        <w:gridCol w:w="1151"/>
        <w:gridCol w:w="1153"/>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«Обеспечение классификации и технической безопасности судов внутреннего водного плавания «река-море»</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«Регистр судоходства».</w:t>
            </w:r>
            <w:r>
              <w:br/>
            </w:r>
            <w:r>
              <w:rPr>
                <w:rFonts w:ascii="Times New Roman"/>
                <w:b w:val="false"/>
                <w:i w:val="false"/>
                <w:color w:val="000000"/>
                <w:sz w:val="20"/>
              </w:rPr>
              <w:t>
</w:t>
            </w:r>
            <w:r>
              <w:rPr>
                <w:rFonts w:ascii="Times New Roman"/>
                <w:b w:val="false"/>
                <w:i w:val="false"/>
                <w:color w:val="000000"/>
                <w:sz w:val="20"/>
              </w:rPr>
              <w:t>Обеспечение технической безопасности судов и других инженерных сооружений, участвующих в процессе судоходства</w:t>
            </w:r>
          </w:p>
        </w:tc>
      </w:tr>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90" w:hRule="atLeast"/>
        </w:trPr>
        <w:tc>
          <w:tcPr>
            <w:tcW w:w="0" w:type="auto"/>
            <w:vMerge/>
            <w:tcBorders>
              <w:top w:val="nil"/>
              <w:left w:val="single" w:color="cfcfcf" w:sz="5"/>
              <w:bottom w:val="single" w:color="cfcfcf" w:sz="5"/>
              <w:right w:val="single" w:color="cfcfcf" w:sz="5"/>
            </w:tcBorders>
          </w:tcP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Обеспечение классификации судов и проведение освидетельствований судов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Транспортные происшествия по техническому состоянию флота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флота требованиям технической безопасности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Безаварийная работа флота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судов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Средние затраты на 1 освидетельствование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92 316</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2544"/>
        <w:gridCol w:w="1322"/>
        <w:gridCol w:w="1049"/>
        <w:gridCol w:w="1114"/>
        <w:gridCol w:w="1652"/>
        <w:gridCol w:w="1480"/>
        <w:gridCol w:w="1135"/>
        <w:gridCol w:w="1136"/>
        <w:gridCol w:w="1137"/>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r>
      <w:tr>
        <w:trPr>
          <w:trHeight w:val="45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легкорельсовой транспортной системы города Астаны</w:t>
            </w:r>
          </w:p>
        </w:tc>
      </w:tr>
      <w:tr>
        <w:trPr>
          <w:trHeight w:val="30" w:hRule="atLeast"/>
        </w:trPr>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Создание новых рабочих мест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комплекса легкорельсовой транспортной системы первой очереди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1. Переустройство инженерных сетей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Соответствие систем и конструкций легкорельсового транспорта казахстанским и международным стандартам качества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выездов на объект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Строительство эстакады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93"/>
        <w:gridCol w:w="899"/>
        <w:gridCol w:w="1513"/>
        <w:gridCol w:w="1514"/>
        <w:gridCol w:w="1304"/>
        <w:gridCol w:w="1516"/>
        <w:gridCol w:w="1516"/>
        <w:gridCol w:w="1305"/>
        <w:gridCol w:w="1327"/>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«Обеспечение качества выполнения дорожно-строительных и ремонтных работ»</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качеством выполняемых работ по строительству, реконструкции, капитальному, среднему, текущему ремонту автомобильных дорог республиканского значения и применяемыми дорожно-строительными материалами</w:t>
            </w:r>
          </w:p>
        </w:tc>
      </w:tr>
      <w:tr>
        <w:trPr>
          <w:trHeight w:val="6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Проведение контроля качества дорожно-ремонтных работ на автомобильных дорогах республиканского значения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Протяженность реконструированных и отремонтированных участков автомобильных дорог республиканского значения, прошедших контроль качества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выезда на объект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Объем затрат на единицу оказанных услуг</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259 397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325 237</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107"/>
        <w:gridCol w:w="901"/>
        <w:gridCol w:w="1305"/>
        <w:gridCol w:w="1306"/>
        <w:gridCol w:w="1307"/>
        <w:gridCol w:w="1307"/>
        <w:gridCol w:w="1710"/>
        <w:gridCol w:w="1710"/>
        <w:gridCol w:w="1520"/>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«Субсидирование регулярных внутренних авиаперевозок»</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услуг авиатранспорта на регулярные внутренние авиаперевозки для среднестатистического потребителя путем осуществления гибкой тарифной политики, направленной на поэтапное снижение объемов субсидирования и в дальнейшем переход на полную самоокупаемость</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субсидируемых авиамаршрутов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Загрузка пассажиров на воздушном судне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Пассажирооборот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Качество выполнения пассажирских перевозок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Перевод субсидируемых рейсов на коммерческую основу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Объем субсидий на 1 пкм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701 749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1 513 585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304"/>
        <w:gridCol w:w="1539"/>
        <w:gridCol w:w="1326"/>
        <w:gridCol w:w="1523"/>
        <w:gridCol w:w="1548"/>
        <w:gridCol w:w="1329"/>
        <w:gridCol w:w="1526"/>
        <w:gridCol w:w="1527"/>
        <w:gridCol w:w="95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«Строительство и реконструкция инфраструктуры водного транспорта»</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водного транспорта, отвечающего современным требованиям, для безопасного и бесперебойного обслуживания судов морского и внутренневодного транспорта</w:t>
            </w:r>
          </w:p>
        </w:tc>
      </w:tr>
      <w:tr>
        <w:trPr>
          <w:trHeight w:val="81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Реконструкция судоходных шлюзов, в том числе:</w:t>
            </w:r>
            <w:r>
              <w:br/>
            </w:r>
            <w:r>
              <w:rPr>
                <w:rFonts w:ascii="Times New Roman"/>
                <w:b w:val="false"/>
                <w:i w:val="false"/>
                <w:color w:val="000000"/>
                <w:sz w:val="20"/>
              </w:rPr>
              <w:t>
</w:t>
            </w:r>
            <w:r>
              <w:rPr>
                <w:rFonts w:ascii="Times New Roman"/>
                <w:b w:val="false"/>
                <w:i w:val="false"/>
                <w:color w:val="000000"/>
                <w:sz w:val="20"/>
              </w:rPr>
              <w:t>переходящие проекты: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проекты: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Реализация проектов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Реализация запланированных мероприятий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Снижение износа шлюзов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пропускной способности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шлюзование судов в год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717"/>
        <w:gridCol w:w="1321"/>
        <w:gridCol w:w="1545"/>
        <w:gridCol w:w="1326"/>
        <w:gridCol w:w="1330"/>
        <w:gridCol w:w="1330"/>
        <w:gridCol w:w="913"/>
        <w:gridCol w:w="1331"/>
        <w:gridCol w:w="1354"/>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«Строительство и реконструкция сети постов транспортного контроля»</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постов транспортного контроля стационарным весовым оборудованием, включая обустройство дорожного полотна</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Количество постов транспортного контроля, оснащенных стационарным весовым оборудованием, в том числе:</w:t>
            </w:r>
            <w:r>
              <w:br/>
            </w:r>
            <w:r>
              <w:rPr>
                <w:rFonts w:ascii="Times New Roman"/>
                <w:b w:val="false"/>
                <w:i w:val="false"/>
                <w:color w:val="000000"/>
                <w:sz w:val="20"/>
              </w:rPr>
              <w:t>
</w:t>
            </w:r>
            <w:r>
              <w:rPr>
                <w:rFonts w:ascii="Times New Roman"/>
                <w:b w:val="false"/>
                <w:i w:val="false"/>
                <w:color w:val="000000"/>
                <w:sz w:val="20"/>
              </w:rPr>
              <w:t>переходящие проекты: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проекты: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Оснащение стационарных постов транспортного контроля весовым оборудованием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Обновление весового оборудования на стационарных постах транспортного контроля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Средние затраты на строительство и оснащение одного поста транспортного контроля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931"/>
        <w:gridCol w:w="901"/>
        <w:gridCol w:w="1306"/>
        <w:gridCol w:w="1306"/>
        <w:gridCol w:w="1304"/>
        <w:gridCol w:w="1308"/>
        <w:gridCol w:w="1309"/>
        <w:gridCol w:w="1309"/>
        <w:gridCol w:w="1330"/>
      </w:tblGrid>
      <w:tr>
        <w:trPr>
          <w:trHeight w:val="24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w:t>
            </w:r>
          </w:p>
        </w:tc>
      </w:tr>
      <w:tr>
        <w:trPr>
          <w:trHeight w:val="28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центров обслуживания населения</w:t>
            </w:r>
          </w:p>
        </w:tc>
      </w:tr>
      <w:tr>
        <w:trPr>
          <w:trHeight w:val="78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780" w:hRule="atLeast"/>
        </w:trPr>
        <w:tc>
          <w:tcPr>
            <w:tcW w:w="0" w:type="auto"/>
            <w:vMerge/>
            <w:tcBorders>
              <w:top w:val="nil"/>
              <w:left w:val="single" w:color="cfcfcf" w:sz="5"/>
              <w:bottom w:val="single" w:color="cfcfcf" w:sz="5"/>
              <w:right w:val="single" w:color="cfcfcf" w:sz="5"/>
            </w:tcBorders>
          </w:tcP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Содержание сотрудников центров обслуживания населения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оказанных услуг населению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млн.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Открытие специализированных центров обслуживания населения в г. Астане, Караганде, Алматы и Актау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конечного результата </w:t>
            </w:r>
            <w:r>
              <w:br/>
            </w:r>
            <w:r>
              <w:rPr>
                <w:rFonts w:ascii="Times New Roman"/>
                <w:b w:val="false"/>
                <w:i w:val="false"/>
                <w:color w:val="000000"/>
                <w:sz w:val="20"/>
              </w:rPr>
              <w:t>
</w:t>
            </w:r>
            <w:r>
              <w:rPr>
                <w:rFonts w:ascii="Times New Roman"/>
                <w:b w:val="false"/>
                <w:i w:val="false"/>
                <w:color w:val="000000"/>
                <w:sz w:val="20"/>
              </w:rPr>
              <w:t>1. Эффективное предоставление государственных услуг населению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граждан предоставлением государственных услуг ЦОНами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1. Бесперебойная работа центров обслуживания населения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производительность одного сотрудника ЦОН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 в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1 000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Модернизация ЦОН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15 580 082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14 734 069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2294"/>
        <w:gridCol w:w="900"/>
        <w:gridCol w:w="903"/>
        <w:gridCol w:w="903"/>
        <w:gridCol w:w="1707"/>
        <w:gridCol w:w="1516"/>
        <w:gridCol w:w="1516"/>
        <w:gridCol w:w="1517"/>
        <w:gridCol w:w="1518"/>
      </w:tblGrid>
      <w:tr>
        <w:trPr>
          <w:trHeight w:val="255"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«Сопровождение системы управления и мониторинга сетей операторов связи»</w:t>
            </w:r>
          </w:p>
        </w:tc>
      </w:tr>
      <w:tr>
        <w:trPr>
          <w:trHeight w:val="27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525" w:hRule="atLeast"/>
        </w:trPr>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секретно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секретно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4 244 175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2566"/>
        <w:gridCol w:w="921"/>
        <w:gridCol w:w="1138"/>
        <w:gridCol w:w="1073"/>
        <w:gridCol w:w="1105"/>
        <w:gridCol w:w="1105"/>
        <w:gridCol w:w="1346"/>
        <w:gridCol w:w="1542"/>
        <w:gridCol w:w="1784"/>
      </w:tblGrid>
      <w:tr>
        <w:trPr>
          <w:trHeight w:val="255"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«Модернизация системы мониторинга радиочастотного спектра Республики Казахстан»</w:t>
            </w:r>
          </w:p>
        </w:tc>
      </w:tr>
      <w:tr>
        <w:trPr>
          <w:trHeight w:val="225"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825"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82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секретно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секретно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секретно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3100"/>
        <w:gridCol w:w="1705"/>
        <w:gridCol w:w="904"/>
        <w:gridCol w:w="1306"/>
        <w:gridCol w:w="1117"/>
        <w:gridCol w:w="1117"/>
        <w:gridCol w:w="1117"/>
        <w:gridCol w:w="1118"/>
        <w:gridCol w:w="1119"/>
      </w:tblGrid>
      <w:tr>
        <w:trPr>
          <w:trHeight w:val="25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«Международно-правовая защита и координация орбитально-частотного ресурса Республики Казахстан»</w:t>
            </w:r>
          </w:p>
        </w:tc>
      </w:tr>
      <w:tr>
        <w:trPr>
          <w:trHeight w:val="255"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Международно-правовая защита и координация орбитально-частотного ресурса Республики Казахстан</w:t>
            </w:r>
          </w:p>
        </w:tc>
      </w:tr>
      <w:tr>
        <w:trPr>
          <w:trHeight w:val="54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55"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40"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Экспертиза заявляемых в МСЭ зарубежных спутниковых сетей на предмет их совместимости со спутниковыми сетями системы «KazSat»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экспертиз, 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Выдача технических заключений по обоснованию необходимости координации спутниковых систем «KazSat»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заключений, 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Внедрение специального программного обеспечения по расчету ЭМС между геостационарными спутниковыми сетями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координационных работ частотных присвоений с зарубежными администрациями связи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отчет, 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Подготовка специалистов в области международно-правовой защиты орбитально-частотного ресурса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Предложение по координации частотных присвоений между спутниковыми сетями системы «KazSat» и зарубежными спутниковыми сетями с целью определения условий их использования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предложений, 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 xml:space="preserve">Запись частотных присвоений в международную таблицу распределения частот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частотных присвоений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1. Признание орбитально-частотной позиции Республики Казахстан на международном уровне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Координационное соглашение, достигнутое Администрацией связи Республики Казахстан с зарубежными администрациями связи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 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63 237</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3099"/>
        <w:gridCol w:w="900"/>
        <w:gridCol w:w="1306"/>
        <w:gridCol w:w="1306"/>
        <w:gridCol w:w="1306"/>
        <w:gridCol w:w="1306"/>
        <w:gridCol w:w="1306"/>
        <w:gridCol w:w="1127"/>
        <w:gridCol w:w="1127"/>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трансферты на развитие областным бюджетам, бюджетам городов Астаны и Алматы на развитие транспортной инфраструктуры»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1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Проведение дорожно-ремонтных работ на автомобильных дорогах областного и районного значения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Завершенные участки по строительству и реконструкции дорог</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Затраты на 1 км. автомобильной дороги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тенге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69 051 065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57 481 903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397"/>
        <w:gridCol w:w="1374"/>
        <w:gridCol w:w="1378"/>
        <w:gridCol w:w="1183"/>
        <w:gridCol w:w="1379"/>
        <w:gridCol w:w="1357"/>
        <w:gridCol w:w="1423"/>
        <w:gridCol w:w="2398"/>
        <w:gridCol w:w="1554"/>
      </w:tblGrid>
      <w:tr>
        <w:trPr>
          <w:trHeight w:val="25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«Субсидирование убытков операторов сельской связи по предоставлению универсальных услуг связи»</w:t>
            </w:r>
          </w:p>
        </w:tc>
      </w:tr>
      <w:tr>
        <w:trPr>
          <w:trHeight w:val="58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субсидий на компенсацию убытков операторов сельской связи по предоставлению универсальных услуг связи в сельских населенных пунктах</w:t>
            </w:r>
          </w:p>
        </w:tc>
      </w:tr>
      <w:tr>
        <w:trPr>
          <w:trHeight w:val="48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абонентов в сельских населенных пунктах, обеспеченных универсальными услугами связи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Обеспечение доступа сельского населения к универсальным услугам телекоммуникаций во всех сельских населенных пунктах и достижение телефонной плотности на селе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 на 100 жителей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Время устранения повреждений с момента обнаружения неисправности обслуживающим персоналом или с момента поступления заявки от клиента: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кабельных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линейно-абонентских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станционных: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 обслуживаемых АТС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на необслуживаемых АТС</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 аналоговых и цифровых системах передачи</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Размер субсидий на одного сельского абонента в 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5 022 150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3 589 722</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2928"/>
        <w:gridCol w:w="907"/>
        <w:gridCol w:w="1315"/>
        <w:gridCol w:w="1315"/>
        <w:gridCol w:w="1020"/>
        <w:gridCol w:w="1104"/>
        <w:gridCol w:w="1318"/>
        <w:gridCol w:w="1532"/>
        <w:gridCol w:w="1340"/>
      </w:tblGrid>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«Содержание здания административно-технологического комплекса «Transport tower»</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техническое и хозяйственное обслуживание здания, а также прилегающей к нему территории. Обслуживание инженерных и коммуникационных сетей, систем водоснабжения, кондиционирования и отопления. Обеспечение пожарной безопасности здания</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Техническое и хозяйственное обслуживание здания с целью создания необходимых социально-бытовых условий государственным служащим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Обеспечение бесперебойной работы по обслуживанию здания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 безопасности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Средние затраты на 1 кв.м по содержанию здания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431 349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475 657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474 112</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764"/>
        <w:gridCol w:w="1121"/>
        <w:gridCol w:w="1529"/>
        <w:gridCol w:w="1315"/>
        <w:gridCol w:w="1334"/>
        <w:gridCol w:w="1149"/>
        <w:gridCol w:w="1271"/>
        <w:gridCol w:w="1070"/>
        <w:gridCol w:w="1050"/>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 трансферты областным бюджетам на изъятие земельных участков для государственных нужд»</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 выкупу земельных участков и строений на них для государственных нужд под строительство и реконструкцию автомобильных дорог республиканского значения</w:t>
            </w:r>
          </w:p>
        </w:tc>
      </w:tr>
      <w:tr>
        <w:trPr>
          <w:trHeight w:val="30" w:hRule="atLeast"/>
        </w:trPr>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Выкуп земельных участков и строений, попадающих под полосу отвода автодорог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127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334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Заключение договоров по выкупу земельных участков и строений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127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334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Процентное соотношение количества договоров, заключенных по решениям суда, к общему количеству выкупаемых земельных участков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Завершение выкупа земельных участков с учетом закрытия финансового года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127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334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118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Прогнозируется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894 823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3 813 443</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830"/>
        <w:gridCol w:w="921"/>
        <w:gridCol w:w="1008"/>
        <w:gridCol w:w="1537"/>
        <w:gridCol w:w="1136"/>
        <w:gridCol w:w="1306"/>
        <w:gridCol w:w="1306"/>
        <w:gridCol w:w="1518"/>
        <w:gridCol w:w="1688"/>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«Целевые текущие трансферты бюджету города Алматы на субсидирование пассажирских перевозок метрополитеном»</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пассажирских перевозок на подземном транспорте Метрополитен по городскому сообщению в городе Алматы</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Количество маршрутов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рейсов в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Количество перевезенных пассажиров в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пропускной способности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Пассажирооборот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Регулярность перевозок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Объем субсидий на 1 пкм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2 733 277</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2296"/>
        <w:gridCol w:w="1513"/>
        <w:gridCol w:w="1114"/>
        <w:gridCol w:w="1115"/>
        <w:gridCol w:w="1116"/>
        <w:gridCol w:w="1306"/>
        <w:gridCol w:w="1307"/>
        <w:gridCol w:w="1307"/>
        <w:gridCol w:w="1520"/>
      </w:tblGrid>
      <w:tr>
        <w:trPr>
          <w:trHeight w:val="255"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«Сопровождение системы мониторинга информационно-коммуникационных сетей»</w:t>
            </w:r>
          </w:p>
        </w:tc>
      </w:tr>
      <w:tr>
        <w:trPr>
          <w:trHeight w:val="255"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сопровождение службы реагирования на компьютерные инциденты</w:t>
            </w:r>
          </w:p>
        </w:tc>
      </w:tr>
      <w:tr>
        <w:trPr>
          <w:trHeight w:val="45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10" w:hRule="atLeast"/>
        </w:trPr>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Заключение меморандума в сфере противодействия компьютерным инцидентам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 xml:space="preserve">Количество отработанных заявок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1. Отработка инцидентов ИБ по заявкам владельцев интернет-ресурсов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Отработка инцидентов ИБ по заявкам пользователей интернет пользователей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интернет-ресурсов, сканированных на наличие вредоносного ПО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897"/>
        <w:gridCol w:w="1108"/>
        <w:gridCol w:w="1510"/>
        <w:gridCol w:w="1110"/>
        <w:gridCol w:w="1110"/>
        <w:gridCol w:w="1511"/>
        <w:gridCol w:w="1305"/>
        <w:gridCol w:w="1111"/>
        <w:gridCol w:w="1260"/>
      </w:tblGrid>
      <w:tr>
        <w:trPr>
          <w:trHeight w:val="25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«Услуги по обучению населения в рамках «электронного правительства»</w:t>
            </w:r>
          </w:p>
        </w:tc>
      </w:tr>
      <w:tr>
        <w:trPr>
          <w:trHeight w:val="1125"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и оказанию консультационной поддержки населению, бизнессообществу, государственным служащим по продвижению электронных услуг портала «электронного правительства»; популяризация проекта «электронного правительства»; организация мероприятий по поддержке развития профессиального ИКТ-сообщества; проведение олимпиад по актуальным темам ИКТ среди учащихся и студентов</w:t>
            </w:r>
          </w:p>
        </w:tc>
      </w:tr>
      <w:tr>
        <w:trPr>
          <w:trHeight w:val="525"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Количество обученного населения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проведенных мероприятий, направленных на продвижение электронных услуг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Обучающие семинары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Пресс-конференции, пресс-туры, демонстрации для журналистов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Круглые столы и конференции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Участие в выставках, в том числе международных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Олимпиады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Промо-акции и конкурсы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Изготовление учебных материалов (учебные программы, инструкции)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Мероприятия по популяризации «электронного правительства»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Конструкции наружной рекламы (билборды, остановочные комплексы)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Видеоролики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Аудиоролики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Рекламная полиграфическая продукция (лифлеты и т.п.)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1. Уровень компьютерной грамотности населения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уровня осведомленности населения об «электронном правительстве» (промо-акции)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Повышение компьютерной грамотности за счет обучения населения «электронному правительству» (от экономически активного населения)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Повышение уровня доверия к бренду «электронное правительство» (размещение аудиороликов на радиостанциях – 6 месяцев, размещение видеороликов на телеканалах – 5 месяцев)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период-месяц</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Увеличение количества посещений портала «электронного правительства» (количество посещений в 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439 265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05"/>
        <w:gridCol w:w="1301"/>
        <w:gridCol w:w="1114"/>
        <w:gridCol w:w="1304"/>
        <w:gridCol w:w="1115"/>
        <w:gridCol w:w="1115"/>
        <w:gridCol w:w="1306"/>
        <w:gridCol w:w="1328"/>
        <w:gridCol w:w="1307"/>
      </w:tblGrid>
      <w:tr>
        <w:trPr>
          <w:trHeight w:val="25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«Техническое сопровождение системы мониторинга радиочастотного спектра и радиоэлектронных средств»</w:t>
            </w:r>
          </w:p>
        </w:tc>
      </w:tr>
      <w:tr>
        <w:trPr>
          <w:trHeight w:val="3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технического сопровождения системы мониторинга радиочастотного спектра и радиоэлектронных средств</w:t>
            </w:r>
          </w:p>
        </w:tc>
      </w:tr>
      <w:tr>
        <w:trPr>
          <w:trHeight w:val="585"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55" w:hRule="atLeast"/>
        </w:trPr>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85" w:hRule="atLeast"/>
        </w:trPr>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Плотность абонентов сотовой связи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на 100 жителей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эфирным цифровым телерадиовещанием населения Казахстана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измерительных комплексов, обеспеченных техническим сопровождением, в том числе: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стационарных радиоконтрольных пунктов (СРКП)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передвижных измерительных пеленгационных комплексов (ПИПК)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расчетов ЭМС РЭС для различных служб при проведении процедуры международной координации и подбору частот ТВ РВ вещания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Бесперебойное функционирование СРКП и ПИПК с целью устранения обнаруженных радиопомех и мониторинга радиочастотного спектра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1. Время на обнаружение источника радиопомех, в зависимости от удаленности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96</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замечаний на блог-платформе Министра транспорта и коммуникаций по неустранению помех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шт.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радиомониторингом населенных пунктов Республики Казахстан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1. Защита радиоэфира субъектов рынка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Средние затраты на содержание ПИПК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Средние затраты на содержание СРКП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Средние затраты на расчет ЭМС одного РЭС различных служб для проведения международной координации частотных присвоений с приграничными государствами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725"/>
        <w:gridCol w:w="888"/>
        <w:gridCol w:w="1059"/>
        <w:gridCol w:w="1080"/>
        <w:gridCol w:w="1016"/>
        <w:gridCol w:w="1424"/>
        <w:gridCol w:w="1535"/>
        <w:gridCol w:w="1536"/>
        <w:gridCol w:w="1496"/>
      </w:tblGrid>
      <w:tr>
        <w:trPr>
          <w:trHeight w:val="255"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«Обеспечение функционирования межведомственных информационных систем»</w:t>
            </w:r>
          </w:p>
        </w:tc>
      </w:tr>
      <w:tr>
        <w:trPr>
          <w:trHeight w:val="102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информационной инфраструктуры «электронного правительства» Республики Казахстан, приобретение технических средств и лицензионного программного обеспечения, оплата услуг связи, и аренды помещения, услуги по сопровождению, системно-техническому обслуживанию информационных систем, услуги по обеспечению информационной безопасности инфраструктуры «электронного правительства».</w:t>
            </w:r>
          </w:p>
        </w:tc>
      </w:tr>
      <w:tr>
        <w:trPr>
          <w:trHeight w:val="600" w:hRule="atLeast"/>
        </w:trPr>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Количества выданных электронных документов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сопровождаемых и подключаемых к ЕСЭДО территориальных подразделений ГО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100 ТГО, сопровождение- не менее 350 ТГО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80 ТГО, сопровождение- не менее 430 ТГО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64 ТГО, сопровождение- не менее 494 ТГО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не менее 32 ТГО, сопровождение- не менее 526 ТГО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электронных документов, отправленных через ЕСЭДО-Ц</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95</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сопровождаемых информационных систем и ресурсов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оборудований, подлежащих системно-техническому обслуживанию</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проведенных испытаний программных средств и баз данных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объектов подключенных к системе е-лицензирование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выданных электронных цифровых подписей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Количество аттестованных информационных систем</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объектов, обеспеченных сетью VPN</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Количество проведенных сеансов видеоконференцсвязи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Количество лицензионного программного обеспечения, подлежащего технической поддержке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Консалтинговые услуги по формированию рекомендаций на оценку технико-экономических обоснований на создание информационных систем</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Консалтинговые услуги по анализу бизнес-процессов оказания услуг, оказываемых государственными органами на возможность автоматизации с рекомендациями и предложениями по их дальнейшей реализации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Количество проведенных он-лайн конференций и консультаций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Количество индексированных веб-ресурсов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веб-ресурсов, 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Доля лицензий, выдаваемых в электронном виде от общего количества выдаваемых лицензий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Доля переведенных в электронный формат социально значимых государственных услуг от общего количества социально значимых услуг</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Ежегодный прирост пользователей портала «электронного правительства»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2 000 000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2 300 000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2 600 000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2 800 000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Рост обращений пользователей к сервисам интернет-портала государственных органов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4.Количество зарегистрированных пользователей ИПГО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Сумма транзакций платежного шлюза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поданных заявок на получение электронных документов (лицензий, разрешений)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Сокращение времени на обработку заявлений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Выдача разрешительных документов в области связи в электронном виде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Отсутствие сбоев аппаратно-программного комплекса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Отсутствие критических уязвимостей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1. Увеличение количества пользователей электронных услуг</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административных барьеров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6 130 715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7 833 917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305"/>
        <w:gridCol w:w="900"/>
        <w:gridCol w:w="1113"/>
        <w:gridCol w:w="1303"/>
        <w:gridCol w:w="1114"/>
        <w:gridCol w:w="1305"/>
        <w:gridCol w:w="1305"/>
        <w:gridCol w:w="1114"/>
        <w:gridCol w:w="1328"/>
      </w:tblGrid>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«Создание информационной инфраструктуры государственных органов»</w:t>
            </w:r>
          </w:p>
        </w:tc>
      </w:tr>
      <w:tr>
        <w:trPr>
          <w:trHeight w:val="79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взаимодействия межгосударственных и межведомственных информационных систем при обмене данных между Казахстаном, Россией и Белоруссией; создание национального сегмента Интегрированной информационной системы внешней и взаимной торговли</w:t>
            </w:r>
          </w:p>
        </w:tc>
      </w:tr>
      <w:tr>
        <w:trPr>
          <w:trHeight w:val="13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7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Ввод в промышленную эксплуатацию Интегрированной информационной системы для центров обслуживания населения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подключенных центров обслуживания населения к системе Интегрированной информационной системе для центров обслуживания населения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Подключение к Интегрированной информационной системе для центров обслуживания населения дополнительных государственных услуг</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государственных услуг, подключенных к ИИС ЦОН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Количество ИС ГО, интегрированных с ИИС ЦОН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Межгосударственный шлюз для обмена информацией в рамках Таможенного союза между Казахстаном, Россией и Белоруссией</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доверенной третьей стороны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интегрированных ИС ГО с межгосударственным шлюзом для обмена информацией в рамках Таможенного союза между Казахстаном, Россией и Белоруссией</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Объем переданных сообщений через межгосударственный шлюз для обмена информацией в рамках Таможенного союза между Казахстаном, Россией и Белоруссией</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Интеграция информационной системы центров обслуживания населения с информационными системами государственных органов и государственными базами данных для осуществления мониторинга оказания государственных услуг</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Интеграция национального шлюза Республики Казахстан с национальным сегментом Республики Беларусь</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Интеграция национального шлюза Республики Казахстан с национальным сегментом Российской Федерации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Снижение среднего времени ожидания для получения государственной услуги в ЦОН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Бесперебойная работа функционирования шлюза и ДТС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1. Сокращение времени оформления документов на импорт/экспорт (IRR)</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документов, переведенных в электронный вид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2 838 681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2 006 283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946"/>
        <w:gridCol w:w="912"/>
        <w:gridCol w:w="982"/>
        <w:gridCol w:w="961"/>
        <w:gridCol w:w="1019"/>
        <w:gridCol w:w="1114"/>
        <w:gridCol w:w="1144"/>
        <w:gridCol w:w="1144"/>
        <w:gridCol w:w="1145"/>
      </w:tblGrid>
      <w:tr>
        <w:trPr>
          <w:trHeight w:val="25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«Увеличение уставных капиталов юридических лиц, осуществляющих деятельность в области транспорта и коммуникаций»</w:t>
            </w:r>
          </w:p>
        </w:tc>
      </w:tr>
      <w:tr>
        <w:trPr>
          <w:trHeight w:val="43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уставных капиталов АО «Казтелерадио» для внедрения и развития цифрового эфирного телерадиовещания в Республике Казахстан </w:t>
            </w:r>
          </w:p>
        </w:tc>
      </w:tr>
      <w:tr>
        <w:trPr>
          <w:trHeight w:val="25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55" w:hRule="atLeast"/>
        </w:trPr>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РТС (радиотелевизионных станций), установленных для цифрового эфирного вещания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Охват эфирным цифровым телерадиовещанием населения Казахстана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населения, охваченного эфирным цифровым вещанием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Количество транслируемых телеканалов цифрового эфирного телерадиовещания в гг. Алматы, Астане и областных центрах</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остальных населенных пунктах</w:t>
            </w: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3415"/>
        <w:gridCol w:w="1155"/>
        <w:gridCol w:w="979"/>
        <w:gridCol w:w="1023"/>
        <w:gridCol w:w="943"/>
        <w:gridCol w:w="965"/>
        <w:gridCol w:w="1009"/>
        <w:gridCol w:w="1031"/>
        <w:gridCol w:w="1166"/>
      </w:tblGrid>
      <w:tr>
        <w:trPr>
          <w:trHeight w:val="55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w:t>
            </w:r>
          </w:p>
        </w:tc>
      </w:tr>
      <w:tr>
        <w:trPr>
          <w:trHeight w:val="115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услуги независимых неправительственных организаций по проведению оценки эффективности деятельности центральных государственных органов и местных исполнительных органов областей, города республиканского значения, столицы по критериям реализации функций государственных органов в электронном формате и оказания государственных услуг в электронном формате</w:t>
            </w:r>
          </w:p>
        </w:tc>
      </w:tr>
      <w:tr>
        <w:trPr>
          <w:trHeight w:val="495"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r>
              <w:br/>
            </w:r>
            <w:r>
              <w:rPr>
                <w:rFonts w:ascii="Times New Roman"/>
                <w:b w:val="false"/>
                <w:i w:val="false"/>
                <w:color w:val="000000"/>
                <w:sz w:val="20"/>
              </w:rPr>
              <w:t>
</w:t>
            </w:r>
            <w:r>
              <w:rPr>
                <w:rFonts w:ascii="Times New Roman"/>
                <w:b w:val="false"/>
                <w:i w:val="false"/>
                <w:color w:val="000000"/>
                <w:sz w:val="20"/>
              </w:rPr>
              <w:t>1. Количество рассмотренных отчетных форм государственных органов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оцененных государственных органов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Количества выданных электронных документов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Экспертное заключение независимых экспертов и неправительственных организаций по результатам оценки эффективности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сроков проведения оценки и выдачи заключений</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Средние затраты на экспертное заключение одного государственного органа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2506"/>
        <w:gridCol w:w="901"/>
        <w:gridCol w:w="1305"/>
        <w:gridCol w:w="1305"/>
        <w:gridCol w:w="1116"/>
        <w:gridCol w:w="1307"/>
        <w:gridCol w:w="1307"/>
        <w:gridCol w:w="1308"/>
        <w:gridCol w:w="927"/>
      </w:tblGrid>
      <w:tr>
        <w:trPr>
          <w:trHeight w:val="645"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«Развитие государственной базы данных «Е-лицензирование»</w:t>
            </w:r>
          </w:p>
        </w:tc>
      </w:tr>
      <w:tr>
        <w:trPr>
          <w:trHeight w:val="21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ИС ГБД ЕЛ в части автоматизации разрешительных документов</w:t>
            </w:r>
          </w:p>
        </w:tc>
      </w:tr>
      <w:tr>
        <w:trPr>
          <w:trHeight w:val="495" w:hRule="atLeast"/>
        </w:trPr>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Внедрение ИС ГБД ЕЛ во всех уполномоченных государственных органах и территориальных подразделениях, в 14 областных акиматах, 2 акиматах городов республиканского значения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Переход на возможность выдачи разрешительных документов (осуществление разрешительных процедур) в электронном формате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Количество видов не предоставляемых документов в бумажном виде после оптимизации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Доля разрешительных документов, выдаваемых в электронном виде от общего количества выдаваемых разрешительных документов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900"/>
        <w:gridCol w:w="1299"/>
        <w:gridCol w:w="1112"/>
        <w:gridCol w:w="1112"/>
        <w:gridCol w:w="1303"/>
        <w:gridCol w:w="1113"/>
        <w:gridCol w:w="1515"/>
        <w:gridCol w:w="1114"/>
        <w:gridCol w:w="1051"/>
      </w:tblGrid>
      <w:tr>
        <w:trPr>
          <w:trHeight w:val="24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«Создание информационной системы «Мобильный офис Правительства Республики Казахстан»</w:t>
            </w:r>
          </w:p>
        </w:tc>
      </w:tr>
      <w:tr>
        <w:trPr>
          <w:trHeight w:val="21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информационно-обменных видов деятельности (отправка/получение электронных почтовых сообщений, обмен информацией и обсуждения вопросов посредством мгновенных сообщений, форумов)</w:t>
            </w:r>
          </w:p>
        </w:tc>
      </w:tr>
      <w:tr>
        <w:trPr>
          <w:trHeight w:val="495" w:hRule="atLeast"/>
        </w:trPr>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Запуск ИС «Мобильный офис Правительства РК» в промышленную эксплуатацию</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Подключение пользователей к ИС «Мобильный офис Правительства РК»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Увеличение эффективности совместной работы руководителей Канцелярии Премьер-Министра РК, центральных и местных исполнительных органов и государственных холдингов</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Обеспечение передачи сообщений ИС МОПРК.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взаимодействия в режиме 24 часа 7 дней в неделю (далее - 24х7) вне зависимости от местонахождения пользователей ИС Мобильный Офис Правительства РК.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719"/>
        <w:gridCol w:w="1121"/>
        <w:gridCol w:w="1315"/>
        <w:gridCol w:w="1124"/>
        <w:gridCol w:w="1124"/>
        <w:gridCol w:w="1316"/>
        <w:gridCol w:w="1082"/>
        <w:gridCol w:w="1053"/>
        <w:gridCol w:w="1339"/>
      </w:tblGrid>
      <w:tr>
        <w:trPr>
          <w:trHeight w:val="24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«Увеличение уставного капитала Республиканского государственного предприятия «Центр обслуживания населения» </w:t>
            </w:r>
          </w:p>
        </w:tc>
      </w:tr>
      <w:tr>
        <w:trPr>
          <w:trHeight w:val="21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оснащение рабочих мест пользователей Интегрированной информационной системы для ЦОН и обеспечение каналов связи в рамках развития ИИС ЦОН, создание специализированных Центров обслуживания населения по вопросам регистрации автотранспорта и выдачи водительских удостоверений </w:t>
            </w:r>
          </w:p>
        </w:tc>
      </w:tr>
      <w:tr>
        <w:trPr>
          <w:trHeight w:val="495"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Открытие специализированных центров обслуживания населения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функционирования ИИС ЦОН в центрах обслуживания населения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r>
              <w:br/>
            </w:r>
            <w:r>
              <w:rPr>
                <w:rFonts w:ascii="Times New Roman"/>
                <w:b w:val="false"/>
                <w:i w:val="false"/>
                <w:color w:val="000000"/>
                <w:sz w:val="20"/>
              </w:rPr>
              <w:t>
</w:t>
            </w:r>
            <w:r>
              <w:rPr>
                <w:rFonts w:ascii="Times New Roman"/>
                <w:b w:val="false"/>
                <w:i w:val="false"/>
                <w:color w:val="000000"/>
                <w:sz w:val="20"/>
              </w:rPr>
              <w:t>1. Эффективное предоставление государственных услуг населению</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граждан предоставлением государственных услуг ЦОНами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Бесперебойная работа центров обслуживания населения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2959"/>
        <w:gridCol w:w="917"/>
        <w:gridCol w:w="921"/>
        <w:gridCol w:w="921"/>
        <w:gridCol w:w="1205"/>
        <w:gridCol w:w="1162"/>
        <w:gridCol w:w="1183"/>
        <w:gridCol w:w="1141"/>
        <w:gridCol w:w="1293"/>
      </w:tblGrid>
      <w:tr>
        <w:trPr>
          <w:trHeight w:val="24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«Подготовка и сопровождение концессионного проекта строительства «Большая Алматинская кольцевая автомобильная дорога»</w:t>
            </w:r>
          </w:p>
        </w:tc>
      </w:tr>
      <w:tr>
        <w:trPr>
          <w:trHeight w:val="21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Республике Казахстан в реализации сделки ГЧП посредством открытого, конкурентного и прозрачного тендерного процесса путем привлечения солидных инвесторов, имеющих достаточные ресурсы для осуществления пилотного концессионного проекта «БАКАД»</w:t>
            </w:r>
          </w:p>
        </w:tc>
      </w:tr>
      <w:tr>
        <w:trPr>
          <w:trHeight w:val="495"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525"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1. Корректировка ТЭО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конкурсной документации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1. Заключения соответствующих экспертиз на ТЭО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Заключение экспертизы АО «КЦ ГЧП», согласование с МЭРТ и МФ</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1. Утверждение ТЭО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Утверждение конкурсной документации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концессии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3309"/>
        <w:gridCol w:w="1302"/>
        <w:gridCol w:w="1114"/>
        <w:gridCol w:w="1305"/>
        <w:gridCol w:w="1116"/>
        <w:gridCol w:w="1308"/>
        <w:gridCol w:w="1117"/>
        <w:gridCol w:w="905"/>
        <w:gridCol w:w="1118"/>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«Целевые трансферты на развитие областным бюджетам, бюджетам городов Астаны и Алматы на строительство специализированных центров обслуживания населения»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специализированного центра обслуживания населения в г. Алматы</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Создание специализированного центра обслуживания населения в г. Алматы по регистрации автотранспорта и выдаче водительских удостоверений</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1. Снижение среднего времени по регистрации, перерегистрации автотранспорта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Снижение среднего времени оформления документов по выдаче водительских удостоверений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Перевод предоставления государственных услуг в сфере регистрации автотранспорта и выдаче водительских удостоверений в центр обслуживания населения в целях улучшения качества и удобства при получении услуг населением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Обеспечение бесперебойного функционирования специализированного центра обслуживания населения</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103"/>
        <w:gridCol w:w="1311"/>
        <w:gridCol w:w="1511"/>
        <w:gridCol w:w="1694"/>
        <w:gridCol w:w="1504"/>
        <w:gridCol w:w="1693"/>
        <w:gridCol w:w="1693"/>
        <w:gridCol w:w="1716"/>
      </w:tblGrid>
      <w:tr>
        <w:trPr>
          <w:trHeight w:val="345"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3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198 424 557,3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269 403 530,4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355 452 734,1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371 844 774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418 798 887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458 295 438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242 382 051</w:t>
            </w:r>
          </w:p>
        </w:tc>
      </w:tr>
      <w:tr>
        <w:trPr>
          <w:trHeight w:val="12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56 112 823,7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69 819 090,1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91 731 653,1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111 867 382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117 920 830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128 223 164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125 227 937</w:t>
            </w:r>
          </w:p>
        </w:tc>
      </w:tr>
      <w:tr>
        <w:trPr>
          <w:trHeight w:val="25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142 311 733,6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199 584 440,3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263 721 081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259 977 392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300 878 057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330 072 275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117 154 114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