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114" w14:textId="534c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1596. Утратило силу постановлением Правительства Республики Казахстан от 24 августа 2018 года № 515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24.08.2018 </w:t>
      </w:r>
      <w:r>
        <w:rPr>
          <w:rFonts w:ascii="Times New Roman"/>
          <w:b w:val="false"/>
          <w:i w:val="false"/>
          <w:color w:val="ff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18 марта 2002 года "Об органах юстиции"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1596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проверок в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органах, а также в маслихатах и акиматах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актов, подлежащих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проверок в центральных государственных органах, а также в маслихатах и акиматах нормативных правовых актов, подлежащих государственной регистрации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18 марта 2002 года "Об органах юстиции" и устанавливают порядок осуществления Министерством юстиции Республики Казахстан и его территориальными органами проверок в центральных государственных органах, а также в местных органах государственного управления нормативных правовых актов, подлежащих государственной регистрации.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проверок сотрудники Министерства юстиции Республики Казахстан и его территориальных органов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законами Республики Казахстан от 18 марта 2002 года </w:t>
      </w:r>
      <w:r>
        <w:rPr>
          <w:rFonts w:ascii="Times New Roman"/>
          <w:b w:val="false"/>
          <w:i w:val="false"/>
          <w:color w:val="000000"/>
          <w:sz w:val="28"/>
        </w:rPr>
        <w:t>"Об органах юстиции"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актами, а также настоящими Правилами.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Проверка проводится в целях: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и предотвращения фактов издания должностными лицами государственных органов нормативных правовых актов, подлежащих государственной регистрации, затрагивающих права, свободы и обязанности граждан, законные интересы хозяйствующих субъектов и государства, противоречащих Конституции и законодательным актам;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предотвращения фактов незаконного применения должностными лицами центральных государственных органов, а также местных органов государственного управления нормативных правовых актов, утративших силу, признанных судом недействительными, либо действие которых приостановлено уполномоченными органами, а также не прошедших государственную регистрацию в органах юстиции либо неопубликованных в установленном порядке;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методической помощи по обеспечению качества и усилению режима законности в сфере государственной регистрации нормативных правовых актов.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проведения проверок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и координация работы по проведению проверок центральных государственных органов возлагаются на соответствующее структурное подразделение Министерства юстиции Республики Казахстан, осуществляющее государственную регистрацию нормативных правовых актов, местных органов государственного управления - на руководителей департаментов юстиции областей, городов Астаны и Алматы (далее - территориальные органы юстиции).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Проверки осуществляют: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государственных органов - Министерство юстиции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органов государственного управления - территориальные органы юстиции.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также осуществляет проверки местных органов государственного управления.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выяснения обстоятельств, входящих в компетенцию иных государственных органов, проверки проводятся совместно с уполномоченными органами.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Проверки проводятся по инициативе органов юстиции, при получении информации о нарушениях установленных норм действующего законодательства по обращениям физических и юридических лиц, через средства массовой информации, а также в соответствии с планом проверок.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проверок утверждается первым руководителем органа юстиции (либо лицом, исполняющим его обязанности).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плановой проверки для центральных государственных органов и местных органов государственного управления устанавливается не реже одного раза в три года.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проведением проверок разрабатывается программа проверки, включающая перечень задач и вопросов, подлежащих проверке, и определяется(ются) лицо(а), уполномоченное(ые) на проведение проверки из числа сотрудников, способное(ые) разобраться в существе проверяемых вопросов и оказать консультационно-методическую помощь в организации деятельности, а также устранении выявленных недостатков.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проверки утверждается первым руководителем органа юстиции (либо лицом, исполняющим его обязанности) или его заместителем.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проверок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проверки первым руководителем органов юстиции (либо лицом, исполняющим его обязанности) выносится акт о назначении проверки.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акте о назначении проверки указываются: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и должность лица (лиц), уполномоченного(ых) на проведение проверки;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проверяемого органа (фамилия, имя, отчество (при его наличии) руководителя проверяемого органа), в отношении которого назначено проведение проверки, его местонахождение, идентификационный номер;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назначенной проверки;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проведения проверки;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правовые основания проведения проверки, в том числе нормативные правовые акты, обязательные требования которых подлежат проверке;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проверяемый период;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лица, уполномоченного подписывать акты, и печать государственного органа.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начала проверки акт о назначении проверки и его копия с заполненной учетной карточкой регистрируются в уполномоченном органе по правовой статистике и специальным учетам по месту регистрации объекта проверки или осуществления им своей деятельности.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органами юстиции после регистрации акта о назначении проверки в уполномоченном органе по правовой статистике и специальным учетам.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органу акта о назначении проверки.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проверки устанавливается с учетом объема предстоящих работ, поставленных задач и состава лиц, уполномоченных на проведение проверки, но не более 30 рабочих дней.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Прекращение, приостановление, возобновление, продление срока проверки производятся первым руководителем органа юстиции (либо лицом, исполняющим его обязанности).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значительном объеме проверки срок проведения проверки продлевается только один раз на срок не более тридцати рабочих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может быть приостановлена один раз на срок не более одного месяца.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продления сроков проверки, приостановления или возобновления сроков проверки, а также изменения состава лиц, участвующих в проверке, оформляется акт, который регистрируется в уполномоченном органе по правовой статистике и специальным учетам не позднее срока окончания проверки за номером акта о назначении проверки с датой регистрации, соответствующей дате поступления документов.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акта о продлении проверки указываются номер и дата регистрации предыдущего акта о назначении проверки и причина продления.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проверяемого органа о приостановлении либо возобновлении проверки производится за один день до приостановления либо возобновления проверки.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срока проведения приостановленной проверки продолжается со дня ее возобновления.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зарегистрированная в уполномоченном органе по правовой статистике и специальным учетам проверка не была проведена, составляется уведомление с указанием причины ее не проведения.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представляется в уполномоченный орган по правовой статистике и специальным учетам не позднее трех рабочих дней до момента фактической даты окончания проверки, указанной в акте о назначении проверки.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Лицо(а), уполномоченное(ые) на проведение проверки, предъявляет акт о назначении проверки для ознакомления первому руководителю проверяемого органа (либо лицу, исполняющего его обязанности).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их отсутствия с актом о назначении проверки ознакамливаются заместитель руководителя либо ответственный секретарь проверяемого органа (в местных органах государственного управления — руководитель аппарата).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Проверке подвергаются все акты, изданные в период, указанный в акте о назначении проверки, в целях недопущения издания и применения проверяемыми органами нормативных правовых актов, подлежащих государственной регистрации, но не прошедших таковую.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Лицо(а), уполномоченное(ые) на проведение проверки: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осуществляет(ют) проверку регистров нормативных правовых актов, журналов, в которых производится регистрация нормативных правовых актов, автоматизированной базы данных (информационной системы);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осуществляет(ют) выборку нормативных правовых актов, подлежащих государственной регистрации;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проверяет(ют) выполнение требований действующего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в части официального опубликования нормативных правовых актов, затрагивающих права, свободы и обязанности граждан;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решает(ют) вопросы о необходимости государственной регистрации того или иного нормативного правового акта;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принимает(ют) решения о возбуждении административного производства и передаче материалов дел в суд.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проверок лицо(а), уполномоченное(ые) на проведение проверки: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запрашивает(ют) от проверяемых органов необходимые для осуществления проверок материалы и информацию;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запрашивает(ют) объяснения лица, привлекаемого к административной ответственности, на имя первого руководителя органа юстиции (либо лица, исполняющего его обязанности);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допускает(ют) необъективность и предвзятость по отношению к проверяемым органам.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Препятствование проведению проверки влечет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оформления результатов проверки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проверки не позднее трех рабочих дней со дня ее окончания составляется акт о результатах проверки в двух экземплярах.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проверки последовательно и объективно описываются выявленные нарушения, которые должны быть мотивированы и документально подтверждены копиями документов (дата и номер документа, наименование нормативного правового акта, его содержание и другие сведения).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акта о результатах проверки не должен содержать различные таблицы и справочные данные, эти сведения оформляются отдельным приложением.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подписывается лицом(ами), уполномоченным(ыми) на проведение проверки, и представляется для подписания первому руководителю проверяемого органа (либо лицу, исполняющему его обязанности). После подписания один экземпляр акта остается в проверяемом органе, второй - возвращается в орган юстиции.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акту о результатах проверки прилагаются также объяснения лиц, непосредственно виновных в установленных проверкой нарушениях либо причастных к ним.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возражений или замечаний к акту о результатах проверки со стороны первого руководителя проверяемого органа (либо лица, исполняющего его обязанности) им делается оговорка перед своей подписью и прилагаются мотивированные письменные объяснения и замечания.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отказа первого руководителя проверяемого органа (либо лица, исполняющего его обязанности) от подписания, в акте о результатах проверки производится соответствующая запись.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выявления в ходе проверки нарушений, за совершение которых предусмотрена административная ответственность, проверяющим(ми) немедленно составляется протокол об административном правонарушении.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Нарушения, указанные в акте о результатах проверки, устраняются проверяемыми органами в течение 10 рабочих дней.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проверяемым органом выявленных по результатам проверки нарушений, Министерством юстиции и его территориальными органами вносится представление об устранении нарушений закона.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