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96d5" w14:textId="74e9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2012 года № 1546.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196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29.03.2025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июля 2001 года №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(САПП Республики Казахстан, 2001 г., № 27, ст. 347).</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10 марта 2013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2012 года № 1546</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29.03.2025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196 Закона Республики Казахстан "О государственном имуществе" и определяют порядок организации и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bookmarkEnd w:id="6"/>
    <w:bookmarkStart w:name="z16"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17" w:id="8"/>
    <w:p>
      <w:pPr>
        <w:spacing w:after="0"/>
        <w:ind w:left="0"/>
        <w:jc w:val="both"/>
      </w:pPr>
      <w:r>
        <w:rPr>
          <w:rFonts w:ascii="Times New Roman"/>
          <w:b w:val="false"/>
          <w:i w:val="false"/>
          <w:color w:val="000000"/>
          <w:sz w:val="28"/>
        </w:rPr>
        <w:t>
      1) областной уполномоченный орган – исполнительный орган, финансируемый из местного бюджета, уполномоченный на распоряжение областным коммунальным имуществом;</w:t>
      </w:r>
    </w:p>
    <w:bookmarkEnd w:id="8"/>
    <w:bookmarkStart w:name="z18" w:id="9"/>
    <w:p>
      <w:pPr>
        <w:spacing w:after="0"/>
        <w:ind w:left="0"/>
        <w:jc w:val="both"/>
      </w:pPr>
      <w:r>
        <w:rPr>
          <w:rFonts w:ascii="Times New Roman"/>
          <w:b w:val="false"/>
          <w:i w:val="false"/>
          <w:color w:val="000000"/>
          <w:sz w:val="28"/>
        </w:rPr>
        <w:t>
      2) районный уполномоченный орган – исполнительный орган, финансируемый из местного бюджета, уполномоченный на распоряжение районным коммунальным имуществом;</w:t>
      </w:r>
    </w:p>
    <w:bookmarkEnd w:id="9"/>
    <w:bookmarkStart w:name="z19" w:id="10"/>
    <w:p>
      <w:pPr>
        <w:spacing w:after="0"/>
        <w:ind w:left="0"/>
        <w:jc w:val="both"/>
      </w:pPr>
      <w:r>
        <w:rPr>
          <w:rFonts w:ascii="Times New Roman"/>
          <w:b w:val="false"/>
          <w:i w:val="false"/>
          <w:color w:val="000000"/>
          <w:sz w:val="28"/>
        </w:rPr>
        <w:t>
      3) уполномоченный орган по коммунальному имуществу местного самоуправления – аппарат акима города районного значения, села, поселка, сельского округа;</w:t>
      </w:r>
    </w:p>
    <w:bookmarkEnd w:id="10"/>
    <w:bookmarkStart w:name="z20" w:id="11"/>
    <w:p>
      <w:pPr>
        <w:spacing w:after="0"/>
        <w:ind w:left="0"/>
        <w:jc w:val="both"/>
      </w:pPr>
      <w:r>
        <w:rPr>
          <w:rFonts w:ascii="Times New Roman"/>
          <w:b w:val="false"/>
          <w:i w:val="false"/>
          <w:color w:val="000000"/>
          <w:sz w:val="28"/>
        </w:rPr>
        <w:t>
      4) объект мониторинга – государственные предприятия, юридические лица с участием государства, за исключением акционерного общества "Фонд национального благосостояния "Самрук-Қазына", все виды имущества, входящего в состав государственного имущества, в том числе находящегося в доверительном управлении, имущественном найме (аренде), концессии, либо переданные по договору государственно-частного партнерства;</w:t>
      </w:r>
    </w:p>
    <w:bookmarkEnd w:id="11"/>
    <w:bookmarkStart w:name="z21" w:id="12"/>
    <w:p>
      <w:pPr>
        <w:spacing w:after="0"/>
        <w:ind w:left="0"/>
        <w:jc w:val="both"/>
      </w:pPr>
      <w:r>
        <w:rPr>
          <w:rFonts w:ascii="Times New Roman"/>
          <w:b w:val="false"/>
          <w:i w:val="false"/>
          <w:color w:val="000000"/>
          <w:sz w:val="28"/>
        </w:rPr>
        <w:t>
      5) субъекты мониторинга – уполномоченный орган по управлению государственным имуществом, областной уполномоченный орган, районный уполномоченный орган, уполномоченный орган по коммунальному имуществу местного самоуправления;</w:t>
      </w:r>
    </w:p>
    <w:bookmarkEnd w:id="12"/>
    <w:bookmarkStart w:name="z22" w:id="13"/>
    <w:p>
      <w:pPr>
        <w:spacing w:after="0"/>
        <w:ind w:left="0"/>
        <w:jc w:val="both"/>
      </w:pPr>
      <w:r>
        <w:rPr>
          <w:rFonts w:ascii="Times New Roman"/>
          <w:b w:val="false"/>
          <w:i w:val="false"/>
          <w:color w:val="000000"/>
          <w:sz w:val="28"/>
        </w:rPr>
        <w:t>
      6)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3"/>
    <w:bookmarkStart w:name="z23" w:id="14"/>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14"/>
    <w:bookmarkStart w:name="z24" w:id="15"/>
    <w:p>
      <w:pPr>
        <w:spacing w:after="0"/>
        <w:ind w:left="0"/>
        <w:jc w:val="both"/>
      </w:pPr>
      <w:r>
        <w:rPr>
          <w:rFonts w:ascii="Times New Roman"/>
          <w:b w:val="false"/>
          <w:i w:val="false"/>
          <w:color w:val="000000"/>
          <w:sz w:val="28"/>
        </w:rPr>
        <w:t>
      8)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5"/>
    <w:bookmarkStart w:name="z25" w:id="16"/>
    <w:p>
      <w:pPr>
        <w:spacing w:after="0"/>
        <w:ind w:left="0"/>
        <w:jc w:val="both"/>
      </w:pPr>
      <w:r>
        <w:rPr>
          <w:rFonts w:ascii="Times New Roman"/>
          <w:b w:val="false"/>
          <w:i w:val="false"/>
          <w:color w:val="000000"/>
          <w:sz w:val="28"/>
        </w:rPr>
        <w:t>
      3.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(далее – мониторинг), представляет собой анализ качественного и количественного состояния государственного имущества, в том числе технологической, финансово-хозяйственной деятельности, правовой характеристики государственных предприятий и юридических лиц с участием государства, в целях своевременного выявления происходящих изменений, прогноза дальнейшего развития и выработки рекомендаций по предупреждению и устранению последствий негативных процессов в их деятельности.</w:t>
      </w:r>
    </w:p>
    <w:bookmarkEnd w:id="16"/>
    <w:bookmarkStart w:name="z26" w:id="17"/>
    <w:p>
      <w:pPr>
        <w:spacing w:after="0"/>
        <w:ind w:left="0"/>
        <w:jc w:val="both"/>
      </w:pPr>
      <w:r>
        <w:rPr>
          <w:rFonts w:ascii="Times New Roman"/>
          <w:b w:val="false"/>
          <w:i w:val="false"/>
          <w:color w:val="000000"/>
          <w:sz w:val="28"/>
        </w:rPr>
        <w:t>
      4. Мониторинг выявляет состояние и тенденции развития объектов мониторинга, оказывающие влияние на сохранение и укрепление ресурсно-энергетической основы экономики страны и регионов.</w:t>
      </w:r>
    </w:p>
    <w:bookmarkEnd w:id="17"/>
    <w:bookmarkStart w:name="z27" w:id="18"/>
    <w:p>
      <w:pPr>
        <w:spacing w:after="0"/>
        <w:ind w:left="0"/>
        <w:jc w:val="both"/>
      </w:pPr>
      <w:r>
        <w:rPr>
          <w:rFonts w:ascii="Times New Roman"/>
          <w:b w:val="false"/>
          <w:i w:val="false"/>
          <w:color w:val="000000"/>
          <w:sz w:val="28"/>
        </w:rPr>
        <w:t>
      5. Целью мониторинга является обеспечение социально-экономических интересов государства.</w:t>
      </w:r>
    </w:p>
    <w:bookmarkEnd w:id="18"/>
    <w:bookmarkStart w:name="z28" w:id="19"/>
    <w:p>
      <w:pPr>
        <w:spacing w:after="0"/>
        <w:ind w:left="0"/>
        <w:jc w:val="both"/>
      </w:pPr>
      <w:r>
        <w:rPr>
          <w:rFonts w:ascii="Times New Roman"/>
          <w:b w:val="false"/>
          <w:i w:val="false"/>
          <w:color w:val="000000"/>
          <w:sz w:val="28"/>
        </w:rPr>
        <w:t>
      6. Основными задачами мониторинга являются:</w:t>
      </w:r>
    </w:p>
    <w:bookmarkEnd w:id="19"/>
    <w:bookmarkStart w:name="z29" w:id="20"/>
    <w:p>
      <w:pPr>
        <w:spacing w:after="0"/>
        <w:ind w:left="0"/>
        <w:jc w:val="both"/>
      </w:pPr>
      <w:r>
        <w:rPr>
          <w:rFonts w:ascii="Times New Roman"/>
          <w:b w:val="false"/>
          <w:i w:val="false"/>
          <w:color w:val="000000"/>
          <w:sz w:val="28"/>
        </w:rPr>
        <w:t>
      1) комплексный анализ эффективности управления объектами мониторинга и целостная оценка состояния государственного имущества;</w:t>
      </w:r>
    </w:p>
    <w:bookmarkEnd w:id="20"/>
    <w:bookmarkStart w:name="z30" w:id="21"/>
    <w:p>
      <w:pPr>
        <w:spacing w:after="0"/>
        <w:ind w:left="0"/>
        <w:jc w:val="both"/>
      </w:pPr>
      <w:r>
        <w:rPr>
          <w:rFonts w:ascii="Times New Roman"/>
          <w:b w:val="false"/>
          <w:i w:val="false"/>
          <w:color w:val="000000"/>
          <w:sz w:val="28"/>
        </w:rPr>
        <w:t>
      2) анализ выполнения обязательств и условий договоров концессии либо договоров государственно-частного партнерства, доверительного управления, имущественного найма (аренды) объектов государственной собственности;</w:t>
      </w:r>
    </w:p>
    <w:bookmarkEnd w:id="21"/>
    <w:bookmarkStart w:name="z31" w:id="22"/>
    <w:p>
      <w:pPr>
        <w:spacing w:after="0"/>
        <w:ind w:left="0"/>
        <w:jc w:val="both"/>
      </w:pPr>
      <w:r>
        <w:rPr>
          <w:rFonts w:ascii="Times New Roman"/>
          <w:b w:val="false"/>
          <w:i w:val="false"/>
          <w:color w:val="000000"/>
          <w:sz w:val="28"/>
        </w:rPr>
        <w:t>
      3) экспертная оценка перспектив развития техники, технологии объектов мониторинга и их влияния на состояние регионов;</w:t>
      </w:r>
    </w:p>
    <w:bookmarkEnd w:id="22"/>
    <w:bookmarkStart w:name="z32" w:id="23"/>
    <w:p>
      <w:pPr>
        <w:spacing w:after="0"/>
        <w:ind w:left="0"/>
        <w:jc w:val="both"/>
      </w:pPr>
      <w:r>
        <w:rPr>
          <w:rFonts w:ascii="Times New Roman"/>
          <w:b w:val="false"/>
          <w:i w:val="false"/>
          <w:color w:val="000000"/>
          <w:sz w:val="28"/>
        </w:rPr>
        <w:t>
      4) формирование и ведение электронной базы данных по объектам мониторинга на портале реестра (вспомогательный сервис "NATIJE");</w:t>
      </w:r>
    </w:p>
    <w:bookmarkEnd w:id="23"/>
    <w:bookmarkStart w:name="z33" w:id="24"/>
    <w:p>
      <w:pPr>
        <w:spacing w:after="0"/>
        <w:ind w:left="0"/>
        <w:jc w:val="both"/>
      </w:pPr>
      <w:r>
        <w:rPr>
          <w:rFonts w:ascii="Times New Roman"/>
          <w:b w:val="false"/>
          <w:i w:val="false"/>
          <w:color w:val="000000"/>
          <w:sz w:val="28"/>
        </w:rPr>
        <w:t>
      5) выявление проблем и разработка рекомендаций по дальнейшему развитию государственных предприятий и юридических лиц с участием государства.</w:t>
      </w:r>
    </w:p>
    <w:bookmarkEnd w:id="24"/>
    <w:bookmarkStart w:name="z34" w:id="25"/>
    <w:p>
      <w:pPr>
        <w:spacing w:after="0"/>
        <w:ind w:left="0"/>
        <w:jc w:val="left"/>
      </w:pPr>
      <w:r>
        <w:rPr>
          <w:rFonts w:ascii="Times New Roman"/>
          <w:b/>
          <w:i w:val="false"/>
          <w:color w:val="000000"/>
        </w:rPr>
        <w:t xml:space="preserve"> Глава 2. Порядок организации мониторинга объектов государственного имущества</w:t>
      </w:r>
    </w:p>
    <w:bookmarkEnd w:id="25"/>
    <w:bookmarkStart w:name="z35" w:id="26"/>
    <w:p>
      <w:pPr>
        <w:spacing w:after="0"/>
        <w:ind w:left="0"/>
        <w:jc w:val="both"/>
      </w:pPr>
      <w:r>
        <w:rPr>
          <w:rFonts w:ascii="Times New Roman"/>
          <w:b w:val="false"/>
          <w:i w:val="false"/>
          <w:color w:val="000000"/>
          <w:sz w:val="28"/>
        </w:rPr>
        <w:t>
      7. По видам государственного имущества осуществляется мониторинг республиканского и коммунального имущества, а по уровням местного государственного управления и самоуправления – мониторинг областного, районного коммунального имущества и коммунального имущества местного самоуправления.</w:t>
      </w:r>
    </w:p>
    <w:bookmarkEnd w:id="26"/>
    <w:bookmarkStart w:name="z36" w:id="27"/>
    <w:p>
      <w:pPr>
        <w:spacing w:after="0"/>
        <w:ind w:left="0"/>
        <w:jc w:val="both"/>
      </w:pPr>
      <w:r>
        <w:rPr>
          <w:rFonts w:ascii="Times New Roman"/>
          <w:b w:val="false"/>
          <w:i w:val="false"/>
          <w:color w:val="000000"/>
          <w:sz w:val="28"/>
        </w:rPr>
        <w:t>
      8. Мониторинг объектов организуют:</w:t>
      </w:r>
    </w:p>
    <w:bookmarkEnd w:id="27"/>
    <w:bookmarkStart w:name="z37" w:id="28"/>
    <w:p>
      <w:pPr>
        <w:spacing w:after="0"/>
        <w:ind w:left="0"/>
        <w:jc w:val="both"/>
      </w:pPr>
      <w:r>
        <w:rPr>
          <w:rFonts w:ascii="Times New Roman"/>
          <w:b w:val="false"/>
          <w:i w:val="false"/>
          <w:color w:val="000000"/>
          <w:sz w:val="28"/>
        </w:rPr>
        <w:t>
      1) по республиканскому имуществу – уполномоченный орган по управлению государственным имуществом;</w:t>
      </w:r>
    </w:p>
    <w:bookmarkEnd w:id="28"/>
    <w:bookmarkStart w:name="z38" w:id="29"/>
    <w:p>
      <w:pPr>
        <w:spacing w:after="0"/>
        <w:ind w:left="0"/>
        <w:jc w:val="both"/>
      </w:pPr>
      <w:r>
        <w:rPr>
          <w:rFonts w:ascii="Times New Roman"/>
          <w:b w:val="false"/>
          <w:i w:val="false"/>
          <w:color w:val="000000"/>
          <w:sz w:val="28"/>
        </w:rPr>
        <w:t>
      2) по областному коммунальному имуществу – областной уполномоченный орган;</w:t>
      </w:r>
    </w:p>
    <w:bookmarkEnd w:id="29"/>
    <w:bookmarkStart w:name="z39" w:id="30"/>
    <w:p>
      <w:pPr>
        <w:spacing w:after="0"/>
        <w:ind w:left="0"/>
        <w:jc w:val="both"/>
      </w:pPr>
      <w:r>
        <w:rPr>
          <w:rFonts w:ascii="Times New Roman"/>
          <w:b w:val="false"/>
          <w:i w:val="false"/>
          <w:color w:val="000000"/>
          <w:sz w:val="28"/>
        </w:rPr>
        <w:t>
      3) по районному коммунальному имуществу – районный уполномоченный орган;</w:t>
      </w:r>
    </w:p>
    <w:bookmarkEnd w:id="30"/>
    <w:bookmarkStart w:name="z40" w:id="31"/>
    <w:p>
      <w:pPr>
        <w:spacing w:after="0"/>
        <w:ind w:left="0"/>
        <w:jc w:val="both"/>
      </w:pPr>
      <w:r>
        <w:rPr>
          <w:rFonts w:ascii="Times New Roman"/>
          <w:b w:val="false"/>
          <w:i w:val="false"/>
          <w:color w:val="000000"/>
          <w:sz w:val="28"/>
        </w:rPr>
        <w:t>
      4) по коммунальному имуществу местного самоуправления – уполномоченный орган по коммунальному имуществу местного самоуправления.</w:t>
      </w:r>
    </w:p>
    <w:bookmarkEnd w:id="31"/>
    <w:bookmarkStart w:name="z41" w:id="32"/>
    <w:p>
      <w:pPr>
        <w:spacing w:after="0"/>
        <w:ind w:left="0"/>
        <w:jc w:val="both"/>
      </w:pPr>
      <w:r>
        <w:rPr>
          <w:rFonts w:ascii="Times New Roman"/>
          <w:b w:val="false"/>
          <w:i w:val="false"/>
          <w:color w:val="000000"/>
          <w:sz w:val="28"/>
        </w:rPr>
        <w:t>
      9. Субъекты мониторинга ежегодно проводят мониторинг со стопроцентным охватом объектов мониторинга.</w:t>
      </w:r>
    </w:p>
    <w:bookmarkEnd w:id="32"/>
    <w:bookmarkStart w:name="z42" w:id="33"/>
    <w:p>
      <w:pPr>
        <w:spacing w:after="0"/>
        <w:ind w:left="0"/>
        <w:jc w:val="both"/>
      </w:pPr>
      <w:r>
        <w:rPr>
          <w:rFonts w:ascii="Times New Roman"/>
          <w:b w:val="false"/>
          <w:i w:val="false"/>
          <w:color w:val="000000"/>
          <w:sz w:val="28"/>
        </w:rPr>
        <w:t>
      10. Мониторинг включает в себя анализ:</w:t>
      </w:r>
    </w:p>
    <w:bookmarkEnd w:id="33"/>
    <w:bookmarkStart w:name="z43" w:id="34"/>
    <w:p>
      <w:pPr>
        <w:spacing w:after="0"/>
        <w:ind w:left="0"/>
        <w:jc w:val="both"/>
      </w:pPr>
      <w:r>
        <w:rPr>
          <w:rFonts w:ascii="Times New Roman"/>
          <w:b w:val="false"/>
          <w:i w:val="false"/>
          <w:color w:val="000000"/>
          <w:sz w:val="28"/>
        </w:rPr>
        <w:t>
      1) технологических аспектов деятельности: анализ состояния активов, основного и вспомогательного производства;</w:t>
      </w:r>
    </w:p>
    <w:bookmarkEnd w:id="34"/>
    <w:bookmarkStart w:name="z44" w:id="35"/>
    <w:p>
      <w:pPr>
        <w:spacing w:after="0"/>
        <w:ind w:left="0"/>
        <w:jc w:val="both"/>
      </w:pPr>
      <w:r>
        <w:rPr>
          <w:rFonts w:ascii="Times New Roman"/>
          <w:b w:val="false"/>
          <w:i w:val="false"/>
          <w:color w:val="000000"/>
          <w:sz w:val="28"/>
        </w:rPr>
        <w:t>
      2) финансово-хозяйственной деятельности: анализ достижения прямых и конечных результатов деятельности, доходы и расходы по основной деятельности, анализ политики оплаты труда, анализ устойчивости финансового состояния объекта мониторинга;</w:t>
      </w:r>
    </w:p>
    <w:bookmarkEnd w:id="35"/>
    <w:bookmarkStart w:name="z45" w:id="36"/>
    <w:p>
      <w:pPr>
        <w:spacing w:after="0"/>
        <w:ind w:left="0"/>
        <w:jc w:val="both"/>
      </w:pPr>
      <w:r>
        <w:rPr>
          <w:rFonts w:ascii="Times New Roman"/>
          <w:b w:val="false"/>
          <w:i w:val="false"/>
          <w:color w:val="000000"/>
          <w:sz w:val="28"/>
        </w:rPr>
        <w:t>
      3) правовых вопросов: соответствие проводимой деятельности уставу организации, договорам доверительного управления, имущественного найма (аренды) и концессии либо договорам государственно-частного партнерства.</w:t>
      </w:r>
    </w:p>
    <w:bookmarkEnd w:id="36"/>
    <w:bookmarkStart w:name="z46" w:id="37"/>
    <w:p>
      <w:pPr>
        <w:spacing w:after="0"/>
        <w:ind w:left="0"/>
        <w:jc w:val="left"/>
      </w:pPr>
      <w:r>
        <w:rPr>
          <w:rFonts w:ascii="Times New Roman"/>
          <w:b/>
          <w:i w:val="false"/>
          <w:color w:val="000000"/>
        </w:rPr>
        <w:t xml:space="preserve"> Глава 3. Порядок осуществления мониторинга объектов государственного имущества</w:t>
      </w:r>
    </w:p>
    <w:bookmarkEnd w:id="37"/>
    <w:bookmarkStart w:name="z47" w:id="38"/>
    <w:p>
      <w:pPr>
        <w:spacing w:after="0"/>
        <w:ind w:left="0"/>
        <w:jc w:val="both"/>
      </w:pPr>
      <w:r>
        <w:rPr>
          <w:rFonts w:ascii="Times New Roman"/>
          <w:b w:val="false"/>
          <w:i w:val="false"/>
          <w:color w:val="000000"/>
          <w:sz w:val="28"/>
        </w:rPr>
        <w:t>
      11. Субъекты мониторинга в целях осуществления мониторинга ежегодно проводят анализ согласно перечню объектов мониторинга, размещенному в реестре, на основе показателей финансово-хозяйственной деятельности, содержащихся в:</w:t>
      </w:r>
    </w:p>
    <w:bookmarkEnd w:id="38"/>
    <w:bookmarkStart w:name="z48" w:id="39"/>
    <w:p>
      <w:pPr>
        <w:spacing w:after="0"/>
        <w:ind w:left="0"/>
        <w:jc w:val="both"/>
      </w:pPr>
      <w:r>
        <w:rPr>
          <w:rFonts w:ascii="Times New Roman"/>
          <w:b w:val="false"/>
          <w:i w:val="false"/>
          <w:color w:val="000000"/>
          <w:sz w:val="28"/>
        </w:rPr>
        <w:t xml:space="preserve">
      1) отчетах по исполнению планов развития контролируемых государством акционерных обществ, товариществ с ограниченной ответственностью, государственных предприятий, разработанных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февраля 2019 года № 14 (зарегистрирован в Министерстве юстиции Республики Казахстан 19 февраля 2019 года № 18328), представленных в реестре;</w:t>
      </w:r>
    </w:p>
    <w:bookmarkEnd w:id="39"/>
    <w:bookmarkStart w:name="z49" w:id="40"/>
    <w:p>
      <w:pPr>
        <w:spacing w:after="0"/>
        <w:ind w:left="0"/>
        <w:jc w:val="both"/>
      </w:pPr>
      <w:r>
        <w:rPr>
          <w:rFonts w:ascii="Times New Roman"/>
          <w:b w:val="false"/>
          <w:i w:val="false"/>
          <w:color w:val="000000"/>
          <w:sz w:val="28"/>
        </w:rPr>
        <w:t xml:space="preserve">
      2) отчетах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разработанных в соответствии с приказами Министра национальной экономики Республики Казахстан от 27 февраля 2015 года </w:t>
      </w:r>
      <w:r>
        <w:rPr>
          <w:rFonts w:ascii="Times New Roman"/>
          <w:b w:val="false"/>
          <w:i w:val="false"/>
          <w:color w:val="000000"/>
          <w:sz w:val="28"/>
        </w:rPr>
        <w:t>№ 149</w:t>
      </w:r>
      <w:r>
        <w:rPr>
          <w:rFonts w:ascii="Times New Roman"/>
          <w:b w:val="false"/>
          <w:i w:val="false"/>
          <w:color w:val="000000"/>
          <w:sz w:val="28"/>
        </w:rPr>
        <w:t xml:space="preserve"> (зарегистрирован в Министерстве юстиции Республики Казахстан 9 апреля 2015 года № 10663) и от 26 февраля 2015 года </w:t>
      </w:r>
      <w:r>
        <w:rPr>
          <w:rFonts w:ascii="Times New Roman"/>
          <w:b w:val="false"/>
          <w:i w:val="false"/>
          <w:color w:val="000000"/>
          <w:sz w:val="28"/>
        </w:rPr>
        <w:t>№ 139</w:t>
      </w:r>
      <w:r>
        <w:rPr>
          <w:rFonts w:ascii="Times New Roman"/>
          <w:b w:val="false"/>
          <w:i w:val="false"/>
          <w:color w:val="000000"/>
          <w:sz w:val="28"/>
        </w:rPr>
        <w:t xml:space="preserve"> (зарегистрирован в Министерстве юстиции Республики Казахстан 10 апреля 2015 года № 10685), представленных в реестре.</w:t>
      </w:r>
    </w:p>
    <w:bookmarkEnd w:id="40"/>
    <w:bookmarkStart w:name="z50" w:id="41"/>
    <w:p>
      <w:pPr>
        <w:spacing w:after="0"/>
        <w:ind w:left="0"/>
        <w:jc w:val="both"/>
      </w:pPr>
      <w:r>
        <w:rPr>
          <w:rFonts w:ascii="Times New Roman"/>
          <w:b w:val="false"/>
          <w:i w:val="false"/>
          <w:color w:val="000000"/>
          <w:sz w:val="28"/>
        </w:rPr>
        <w:t>
      12. Для участия в осуществлении мониторинга субъекты мониторинга привлекают сотрудников территориальных подразделений уполномоченного органа по управлению государственным имуществом, а также отраслевых государственных органов.</w:t>
      </w:r>
    </w:p>
    <w:bookmarkEnd w:id="41"/>
    <w:bookmarkStart w:name="z51" w:id="42"/>
    <w:p>
      <w:pPr>
        <w:spacing w:after="0"/>
        <w:ind w:left="0"/>
        <w:jc w:val="both"/>
      </w:pPr>
      <w:r>
        <w:rPr>
          <w:rFonts w:ascii="Times New Roman"/>
          <w:b w:val="false"/>
          <w:i w:val="false"/>
          <w:color w:val="000000"/>
          <w:sz w:val="28"/>
        </w:rPr>
        <w:t>
      13. Решением руководителя субъекта мониторинга создается комиссия с участием сотрудников территориальных подразделений уполномоченного органа по управлению государственным имуществом и отраслевых государственных органов.</w:t>
      </w:r>
    </w:p>
    <w:bookmarkEnd w:id="42"/>
    <w:bookmarkStart w:name="z52" w:id="43"/>
    <w:p>
      <w:pPr>
        <w:spacing w:after="0"/>
        <w:ind w:left="0"/>
        <w:jc w:val="both"/>
      </w:pPr>
      <w:r>
        <w:rPr>
          <w:rFonts w:ascii="Times New Roman"/>
          <w:b w:val="false"/>
          <w:i w:val="false"/>
          <w:color w:val="000000"/>
          <w:sz w:val="28"/>
        </w:rPr>
        <w:t>
      14. Субъекты мониторинга по итогам проведенного анализа формируют заключения по форме согласно приложению к настоящим Правилам.</w:t>
      </w:r>
    </w:p>
    <w:bookmarkEnd w:id="43"/>
    <w:bookmarkStart w:name="z53" w:id="44"/>
    <w:p>
      <w:pPr>
        <w:spacing w:after="0"/>
        <w:ind w:left="0"/>
        <w:jc w:val="both"/>
      </w:pPr>
      <w:r>
        <w:rPr>
          <w:rFonts w:ascii="Times New Roman"/>
          <w:b w:val="false"/>
          <w:i w:val="false"/>
          <w:color w:val="000000"/>
          <w:sz w:val="28"/>
        </w:rPr>
        <w:t>
      15. Заключение должно содержать рекомендации по предупреждению и устранению последствий негативных процессов в деятельности объектов мониторинга, которые направляются:</w:t>
      </w:r>
    </w:p>
    <w:bookmarkEnd w:id="44"/>
    <w:bookmarkStart w:name="z54" w:id="45"/>
    <w:p>
      <w:pPr>
        <w:spacing w:after="0"/>
        <w:ind w:left="0"/>
        <w:jc w:val="both"/>
      </w:pPr>
      <w:r>
        <w:rPr>
          <w:rFonts w:ascii="Times New Roman"/>
          <w:b w:val="false"/>
          <w:i w:val="false"/>
          <w:color w:val="000000"/>
          <w:sz w:val="28"/>
        </w:rPr>
        <w:t>
      по республиканскому имуществу – уполномоченному органу по руководству соответствующей отраслью;</w:t>
      </w:r>
    </w:p>
    <w:bookmarkEnd w:id="45"/>
    <w:bookmarkStart w:name="z55" w:id="46"/>
    <w:p>
      <w:pPr>
        <w:spacing w:after="0"/>
        <w:ind w:left="0"/>
        <w:jc w:val="both"/>
      </w:pPr>
      <w:r>
        <w:rPr>
          <w:rFonts w:ascii="Times New Roman"/>
          <w:b w:val="false"/>
          <w:i w:val="false"/>
          <w:color w:val="000000"/>
          <w:sz w:val="28"/>
        </w:rPr>
        <w:t>
      по коммунальному имуществу – объекту мониторинга.</w:t>
      </w:r>
    </w:p>
    <w:bookmarkEnd w:id="46"/>
    <w:bookmarkStart w:name="z56" w:id="47"/>
    <w:p>
      <w:pPr>
        <w:spacing w:after="0"/>
        <w:ind w:left="0"/>
        <w:jc w:val="both"/>
      </w:pPr>
      <w:r>
        <w:rPr>
          <w:rFonts w:ascii="Times New Roman"/>
          <w:b w:val="false"/>
          <w:i w:val="false"/>
          <w:color w:val="000000"/>
          <w:sz w:val="28"/>
        </w:rPr>
        <w:t>
      16. Объекты мониторинга и уполномоченные органы по руководству соответствующими отраслями в течение 10 рабочих дней после получения заключения представляют в адрес субъекта мониторинга ответ о согласии с рекомендациями либо мотивированный ответ о несогласии.</w:t>
      </w:r>
    </w:p>
    <w:bookmarkEnd w:id="47"/>
    <w:bookmarkStart w:name="z57" w:id="48"/>
    <w:p>
      <w:pPr>
        <w:spacing w:after="0"/>
        <w:ind w:left="0"/>
        <w:jc w:val="both"/>
      </w:pPr>
      <w:r>
        <w:rPr>
          <w:rFonts w:ascii="Times New Roman"/>
          <w:b w:val="false"/>
          <w:i w:val="false"/>
          <w:color w:val="000000"/>
          <w:sz w:val="28"/>
        </w:rPr>
        <w:t>
      17. Субъекты мониторинга в срок до 25 декабря текущего года представляют сводный анализ и рекомендации с учетом ответов объектов мониторинга и уполномоченных органов по руководству соответствующими отраслями уполномоченному органу по государственному планированию.</w:t>
      </w:r>
    </w:p>
    <w:bookmarkEnd w:id="48"/>
    <w:bookmarkStart w:name="z58" w:id="49"/>
    <w:p>
      <w:pPr>
        <w:spacing w:after="0"/>
        <w:ind w:left="0"/>
        <w:jc w:val="both"/>
      </w:pPr>
      <w:r>
        <w:rPr>
          <w:rFonts w:ascii="Times New Roman"/>
          <w:b w:val="false"/>
          <w:i w:val="false"/>
          <w:color w:val="000000"/>
          <w:sz w:val="28"/>
        </w:rPr>
        <w:t>
      18. По результатам проведенного мониторинга эффективности управления государственным имуществом субъекты мониторинга размещают результаты мониторинга в реестре.</w:t>
      </w:r>
    </w:p>
    <w:bookmarkEnd w:id="49"/>
    <w:bookmarkStart w:name="z59" w:id="50"/>
    <w:p>
      <w:pPr>
        <w:spacing w:after="0"/>
        <w:ind w:left="0"/>
        <w:jc w:val="both"/>
      </w:pPr>
      <w:r>
        <w:rPr>
          <w:rFonts w:ascii="Times New Roman"/>
          <w:b w:val="false"/>
          <w:i w:val="false"/>
          <w:color w:val="000000"/>
          <w:sz w:val="28"/>
        </w:rPr>
        <w:t>
      19. Руководитель государственного предприятия, первые руководители национальных управляющих холдингов, национальных холдингов, национальных компаний, руководители исполнительных органов юридических лиц с участием государства несут дисциплинарную ответственность за неисполнение плановых показателей плана развития или плана мероприятий, повлекшее убыточность либо получение убытка больше запланированного, не содержащее признаков административного либо уголовного правонарушения.</w:t>
      </w:r>
    </w:p>
    <w:bookmarkEnd w:id="50"/>
    <w:bookmarkStart w:name="z60" w:id="51"/>
    <w:p>
      <w:pPr>
        <w:spacing w:after="0"/>
        <w:ind w:left="0"/>
        <w:jc w:val="both"/>
      </w:pPr>
      <w:r>
        <w:rPr>
          <w:rFonts w:ascii="Times New Roman"/>
          <w:b w:val="false"/>
          <w:i w:val="false"/>
          <w:color w:val="000000"/>
          <w:sz w:val="28"/>
        </w:rPr>
        <w:t>
      Уполномоченный орган по руководству соответствующей отраслью (сферой) государственного управления,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принимая к сведению сформированные по результатам мониторинга анализы и рекомендации уполномоченного органа по управлению государственным имуществом, рассматривают вопрос и выносят решение о наложении дисциплинарного взыскания на руководителей государственного предприятия, первых руководителей национальных управляющих холдингов, национальных холдингов, национальных компаний, руководителя исполнительного органа юридических лиц с участием государства в соответствии с законами Республики Казахстан.</w:t>
      </w:r>
    </w:p>
    <w:bookmarkEnd w:id="51"/>
    <w:bookmarkStart w:name="z61" w:id="52"/>
    <w:p>
      <w:pPr>
        <w:spacing w:after="0"/>
        <w:ind w:left="0"/>
        <w:jc w:val="both"/>
      </w:pPr>
      <w:r>
        <w:rPr>
          <w:rFonts w:ascii="Times New Roman"/>
          <w:b w:val="false"/>
          <w:i w:val="false"/>
          <w:color w:val="000000"/>
          <w:sz w:val="28"/>
        </w:rPr>
        <w:t xml:space="preserve">
      В случае, если процент голосующих акций (долей участия) в юридических лицах с участием государства меньше 100 % (сто процентов), то вопрос и принятие решения о наложении дисциплинарного взыскания на руководителей исполнительного органа юридических лиц с участием государства выносятся на заседание Совета директоров и (или) общее собрание акционеров или участников товарищества с ограниченной ответственностью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w:t>
      </w:r>
      <w:r>
        <w:rPr>
          <w:rFonts w:ascii="Times New Roman"/>
          <w:b w:val="false"/>
          <w:i w:val="false"/>
          <w:color w:val="000000"/>
          <w:sz w:val="28"/>
        </w:rPr>
        <w:t>"О товариществах с ограниченной ответственностью"</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________________________________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осуществления</w:t>
            </w:r>
            <w:r>
              <w:br/>
            </w:r>
            <w:r>
              <w:rPr>
                <w:rFonts w:ascii="Times New Roman"/>
                <w:b w:val="false"/>
                <w:i w:val="false"/>
                <w:color w:val="000000"/>
                <w:sz w:val="20"/>
              </w:rPr>
              <w:t>мониторинга эффективности</w:t>
            </w:r>
            <w:r>
              <w:br/>
            </w:r>
            <w:r>
              <w:rPr>
                <w:rFonts w:ascii="Times New Roman"/>
                <w:b w:val="false"/>
                <w:i w:val="false"/>
                <w:color w:val="000000"/>
                <w:sz w:val="20"/>
              </w:rPr>
              <w:t>управления государственным</w:t>
            </w:r>
            <w:r>
              <w:br/>
            </w:r>
            <w:r>
              <w:rPr>
                <w:rFonts w:ascii="Times New Roman"/>
                <w:b w:val="false"/>
                <w:i w:val="false"/>
                <w:color w:val="000000"/>
                <w:sz w:val="20"/>
              </w:rPr>
              <w:t>имуществом, в том числе</w:t>
            </w:r>
            <w:r>
              <w:br/>
            </w:r>
            <w:r>
              <w:rPr>
                <w:rFonts w:ascii="Times New Roman"/>
                <w:b w:val="false"/>
                <w:i w:val="false"/>
                <w:color w:val="000000"/>
                <w:sz w:val="20"/>
              </w:rPr>
              <w:t>государственными</w:t>
            </w:r>
            <w:r>
              <w:br/>
            </w:r>
            <w:r>
              <w:rPr>
                <w:rFonts w:ascii="Times New Roman"/>
                <w:b w:val="false"/>
                <w:i w:val="false"/>
                <w:color w:val="000000"/>
                <w:sz w:val="20"/>
              </w:rPr>
              <w:t>предприятиями и юридическими</w:t>
            </w:r>
            <w:r>
              <w:br/>
            </w:r>
            <w:r>
              <w:rPr>
                <w:rFonts w:ascii="Times New Roman"/>
                <w:b w:val="false"/>
                <w:i w:val="false"/>
                <w:color w:val="000000"/>
                <w:sz w:val="20"/>
              </w:rPr>
              <w:t>лицами с участием государства</w:t>
            </w:r>
          </w:p>
        </w:tc>
      </w:tr>
    </w:tbl>
    <w:bookmarkStart w:name="z64" w:id="54"/>
    <w:p>
      <w:pPr>
        <w:spacing w:after="0"/>
        <w:ind w:left="0"/>
        <w:jc w:val="both"/>
      </w:pPr>
      <w:r>
        <w:rPr>
          <w:rFonts w:ascii="Times New Roman"/>
          <w:b w:val="false"/>
          <w:i w:val="false"/>
          <w:color w:val="000000"/>
          <w:sz w:val="28"/>
        </w:rPr>
        <w:t xml:space="preserve">
      Заключение по результатам мониторинга </w:t>
      </w:r>
    </w:p>
    <w:bookmarkEnd w:id="54"/>
    <w:bookmarkStart w:name="z65" w:id="55"/>
    <w:p>
      <w:pPr>
        <w:spacing w:after="0"/>
        <w:ind w:left="0"/>
        <w:jc w:val="both"/>
      </w:pPr>
      <w:r>
        <w:rPr>
          <w:rFonts w:ascii="Times New Roman"/>
          <w:b w:val="false"/>
          <w:i w:val="false"/>
          <w:color w:val="000000"/>
          <w:sz w:val="28"/>
        </w:rPr>
        <w:t>
       (факт _____г. и план на _____г.)</w:t>
      </w:r>
    </w:p>
    <w:bookmarkEnd w:id="55"/>
    <w:bookmarkStart w:name="z66" w:id="56"/>
    <w:p>
      <w:pPr>
        <w:spacing w:after="0"/>
        <w:ind w:left="0"/>
        <w:jc w:val="both"/>
      </w:pPr>
      <w:r>
        <w:rPr>
          <w:rFonts w:ascii="Times New Roman"/>
          <w:b w:val="false"/>
          <w:i w:val="false"/>
          <w:color w:val="000000"/>
          <w:sz w:val="28"/>
        </w:rPr>
        <w:t>
      1. Общие сведения об объекте мониторинга</w:t>
      </w:r>
    </w:p>
    <w:bookmarkEnd w:id="56"/>
    <w:bookmarkStart w:name="z67" w:id="57"/>
    <w:p>
      <w:pPr>
        <w:spacing w:after="0"/>
        <w:ind w:left="0"/>
        <w:jc w:val="both"/>
      </w:pPr>
      <w:r>
        <w:rPr>
          <w:rFonts w:ascii="Times New Roman"/>
          <w:b w:val="false"/>
          <w:i w:val="false"/>
          <w:color w:val="000000"/>
          <w:sz w:val="28"/>
        </w:rPr>
        <w:t>
      1.1. Решение о создании объекта мониторинга</w:t>
      </w:r>
    </w:p>
    <w:bookmarkEnd w:id="57"/>
    <w:bookmarkStart w:name="z68" w:id="58"/>
    <w:p>
      <w:pPr>
        <w:spacing w:after="0"/>
        <w:ind w:left="0"/>
        <w:jc w:val="both"/>
      </w:pPr>
      <w:r>
        <w:rPr>
          <w:rFonts w:ascii="Times New Roman"/>
          <w:b w:val="false"/>
          <w:i w:val="false"/>
          <w:color w:val="000000"/>
          <w:sz w:val="28"/>
        </w:rPr>
        <w:t>
      1.2. Цель создания объекта мониторинга</w:t>
      </w:r>
    </w:p>
    <w:bookmarkEnd w:id="58"/>
    <w:bookmarkStart w:name="z69" w:id="59"/>
    <w:p>
      <w:pPr>
        <w:spacing w:after="0"/>
        <w:ind w:left="0"/>
        <w:jc w:val="both"/>
      </w:pPr>
      <w:r>
        <w:rPr>
          <w:rFonts w:ascii="Times New Roman"/>
          <w:b w:val="false"/>
          <w:i w:val="false"/>
          <w:color w:val="000000"/>
          <w:sz w:val="28"/>
        </w:rPr>
        <w:t>
      1.3. Местоположение объекта мониторинга</w:t>
      </w:r>
    </w:p>
    <w:bookmarkEnd w:id="59"/>
    <w:bookmarkStart w:name="z70" w:id="60"/>
    <w:p>
      <w:pPr>
        <w:spacing w:after="0"/>
        <w:ind w:left="0"/>
        <w:jc w:val="both"/>
      </w:pPr>
      <w:r>
        <w:rPr>
          <w:rFonts w:ascii="Times New Roman"/>
          <w:b w:val="false"/>
          <w:i w:val="false"/>
          <w:color w:val="000000"/>
          <w:sz w:val="28"/>
        </w:rPr>
        <w:t>
      __________________________________________________________________</w:t>
      </w:r>
    </w:p>
    <w:bookmarkEnd w:id="60"/>
    <w:bookmarkStart w:name="z71" w:id="61"/>
    <w:p>
      <w:pPr>
        <w:spacing w:after="0"/>
        <w:ind w:left="0"/>
        <w:jc w:val="both"/>
      </w:pPr>
      <w:r>
        <w:rPr>
          <w:rFonts w:ascii="Times New Roman"/>
          <w:b w:val="false"/>
          <w:i w:val="false"/>
          <w:color w:val="000000"/>
          <w:sz w:val="28"/>
        </w:rPr>
        <w:t>
      2. Технологические аспекты деятельности объекта мониторинга</w:t>
      </w:r>
    </w:p>
    <w:bookmarkEnd w:id="61"/>
    <w:bookmarkStart w:name="z72" w:id="62"/>
    <w:p>
      <w:pPr>
        <w:spacing w:after="0"/>
        <w:ind w:left="0"/>
        <w:jc w:val="both"/>
      </w:pPr>
      <w:r>
        <w:rPr>
          <w:rFonts w:ascii="Times New Roman"/>
          <w:b w:val="false"/>
          <w:i w:val="false"/>
          <w:color w:val="000000"/>
          <w:sz w:val="28"/>
        </w:rPr>
        <w:t>
      2.1. Анализ состояния активов, основного и вспомогательного производства</w:t>
      </w:r>
    </w:p>
    <w:bookmarkEnd w:id="62"/>
    <w:bookmarkStart w:name="z73" w:id="63"/>
    <w:p>
      <w:pPr>
        <w:spacing w:after="0"/>
        <w:ind w:left="0"/>
        <w:jc w:val="both"/>
      </w:pPr>
      <w:r>
        <w:rPr>
          <w:rFonts w:ascii="Times New Roman"/>
          <w:b w:val="false"/>
          <w:i w:val="false"/>
          <w:color w:val="000000"/>
          <w:sz w:val="28"/>
        </w:rPr>
        <w:t>
      _________________________________________________________________</w:t>
      </w:r>
    </w:p>
    <w:bookmarkEnd w:id="63"/>
    <w:bookmarkStart w:name="z74" w:id="64"/>
    <w:p>
      <w:pPr>
        <w:spacing w:after="0"/>
        <w:ind w:left="0"/>
        <w:jc w:val="both"/>
      </w:pPr>
      <w:r>
        <w:rPr>
          <w:rFonts w:ascii="Times New Roman"/>
          <w:b w:val="false"/>
          <w:i w:val="false"/>
          <w:color w:val="000000"/>
          <w:sz w:val="28"/>
        </w:rPr>
        <w:t xml:space="preserve">
      3. Анализ финансово-хозяйственной деятельности объекта мониторинга </w:t>
      </w:r>
    </w:p>
    <w:bookmarkEnd w:id="64"/>
    <w:bookmarkStart w:name="z75" w:id="65"/>
    <w:p>
      <w:pPr>
        <w:spacing w:after="0"/>
        <w:ind w:left="0"/>
        <w:jc w:val="both"/>
      </w:pPr>
      <w:r>
        <w:rPr>
          <w:rFonts w:ascii="Times New Roman"/>
          <w:b w:val="false"/>
          <w:i w:val="false"/>
          <w:color w:val="000000"/>
          <w:sz w:val="28"/>
        </w:rPr>
        <w:t>
      3.1. Анализ достижения прямых и конечных результатов деятельности объекта мониторинга</w:t>
      </w:r>
    </w:p>
    <w:bookmarkEnd w:id="65"/>
    <w:bookmarkStart w:name="z76" w:id="66"/>
    <w:p>
      <w:pPr>
        <w:spacing w:after="0"/>
        <w:ind w:left="0"/>
        <w:jc w:val="both"/>
      </w:pPr>
      <w:r>
        <w:rPr>
          <w:rFonts w:ascii="Times New Roman"/>
          <w:b w:val="false"/>
          <w:i w:val="false"/>
          <w:color w:val="000000"/>
          <w:sz w:val="28"/>
        </w:rPr>
        <w:t>
      3.2. Доходы и расходы по основной деятельности</w:t>
      </w:r>
    </w:p>
    <w:bookmarkEnd w:id="66"/>
    <w:bookmarkStart w:name="z77" w:id="67"/>
    <w:p>
      <w:pPr>
        <w:spacing w:after="0"/>
        <w:ind w:left="0"/>
        <w:jc w:val="both"/>
      </w:pPr>
      <w:r>
        <w:rPr>
          <w:rFonts w:ascii="Times New Roman"/>
          <w:b w:val="false"/>
          <w:i w:val="false"/>
          <w:color w:val="000000"/>
          <w:sz w:val="28"/>
        </w:rPr>
        <w:t>
      3.3. Анализ политики оплаты труда объекта мониторинга</w:t>
      </w:r>
    </w:p>
    <w:bookmarkEnd w:id="67"/>
    <w:bookmarkStart w:name="z78" w:id="68"/>
    <w:p>
      <w:pPr>
        <w:spacing w:after="0"/>
        <w:ind w:left="0"/>
        <w:jc w:val="both"/>
      </w:pPr>
      <w:r>
        <w:rPr>
          <w:rFonts w:ascii="Times New Roman"/>
          <w:b w:val="false"/>
          <w:i w:val="false"/>
          <w:color w:val="000000"/>
          <w:sz w:val="28"/>
        </w:rPr>
        <w:t>
      3.4. Анализ устойчивости финансового состояния объекта мониторинга</w:t>
      </w:r>
    </w:p>
    <w:bookmarkEnd w:id="68"/>
    <w:bookmarkStart w:name="z79" w:id="69"/>
    <w:p>
      <w:pPr>
        <w:spacing w:after="0"/>
        <w:ind w:left="0"/>
        <w:jc w:val="both"/>
      </w:pPr>
      <w:r>
        <w:rPr>
          <w:rFonts w:ascii="Times New Roman"/>
          <w:b w:val="false"/>
          <w:i w:val="false"/>
          <w:color w:val="000000"/>
          <w:sz w:val="28"/>
        </w:rPr>
        <w:t>
      __________________________________________________________________</w:t>
      </w:r>
    </w:p>
    <w:bookmarkEnd w:id="69"/>
    <w:bookmarkStart w:name="z80" w:id="70"/>
    <w:p>
      <w:pPr>
        <w:spacing w:after="0"/>
        <w:ind w:left="0"/>
        <w:jc w:val="both"/>
      </w:pPr>
      <w:r>
        <w:rPr>
          <w:rFonts w:ascii="Times New Roman"/>
          <w:b w:val="false"/>
          <w:i w:val="false"/>
          <w:color w:val="000000"/>
          <w:sz w:val="28"/>
        </w:rPr>
        <w:t>
      4. Правовой анализ</w:t>
      </w:r>
    </w:p>
    <w:bookmarkEnd w:id="70"/>
    <w:bookmarkStart w:name="z81" w:id="71"/>
    <w:p>
      <w:pPr>
        <w:spacing w:after="0"/>
        <w:ind w:left="0"/>
        <w:jc w:val="both"/>
      </w:pPr>
      <w:r>
        <w:rPr>
          <w:rFonts w:ascii="Times New Roman"/>
          <w:b w:val="false"/>
          <w:i w:val="false"/>
          <w:color w:val="000000"/>
          <w:sz w:val="28"/>
        </w:rPr>
        <w:t>
      4.1. Соответствие проводимой деятельности уставу организации, договорам доверительного управления, имущественного найма (аренды) и концессии либо договорам государственно-частного партнерства</w:t>
      </w:r>
    </w:p>
    <w:bookmarkEnd w:id="71"/>
    <w:bookmarkStart w:name="z82" w:id="72"/>
    <w:p>
      <w:pPr>
        <w:spacing w:after="0"/>
        <w:ind w:left="0"/>
        <w:jc w:val="both"/>
      </w:pPr>
      <w:r>
        <w:rPr>
          <w:rFonts w:ascii="Times New Roman"/>
          <w:b w:val="false"/>
          <w:i w:val="false"/>
          <w:color w:val="000000"/>
          <w:sz w:val="28"/>
        </w:rPr>
        <w:t>
      __________________________________________________________________</w:t>
      </w:r>
    </w:p>
    <w:bookmarkEnd w:id="72"/>
    <w:bookmarkStart w:name="z83" w:id="73"/>
    <w:p>
      <w:pPr>
        <w:spacing w:after="0"/>
        <w:ind w:left="0"/>
        <w:jc w:val="both"/>
      </w:pPr>
      <w:r>
        <w:rPr>
          <w:rFonts w:ascii="Times New Roman"/>
          <w:b w:val="false"/>
          <w:i w:val="false"/>
          <w:color w:val="000000"/>
          <w:sz w:val="28"/>
        </w:rPr>
        <w:t>
      ОБЩИЕ ВЫВОДЫ</w:t>
      </w:r>
    </w:p>
    <w:bookmarkEnd w:id="73"/>
    <w:bookmarkStart w:name="z84" w:id="74"/>
    <w:p>
      <w:pPr>
        <w:spacing w:after="0"/>
        <w:ind w:left="0"/>
        <w:jc w:val="both"/>
      </w:pPr>
      <w:r>
        <w:rPr>
          <w:rFonts w:ascii="Times New Roman"/>
          <w:b w:val="false"/>
          <w:i w:val="false"/>
          <w:color w:val="000000"/>
          <w:sz w:val="28"/>
        </w:rPr>
        <w:t xml:space="preserve">
      РЕКОМЕНДАЦИИ </w:t>
      </w:r>
    </w:p>
    <w:bookmarkEnd w:id="74"/>
    <w:bookmarkStart w:name="z85" w:id="75"/>
    <w:p>
      <w:pPr>
        <w:spacing w:after="0"/>
        <w:ind w:left="0"/>
        <w:jc w:val="both"/>
      </w:pPr>
      <w:r>
        <w:rPr>
          <w:rFonts w:ascii="Times New Roman"/>
          <w:b w:val="false"/>
          <w:i w:val="false"/>
          <w:color w:val="000000"/>
          <w:sz w:val="28"/>
        </w:rPr>
        <w:t>
      ________________________</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