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25c2" w14:textId="aa12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октября 2007 года № 873 "Об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2012 года № 1528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2007 года № 873 «Об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 (САПП Республики Казахстан, 2007 г., № 36, ст. 410)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во время церемоний, торжественных и спортивных мероприятий, проводимых международными организациями;»;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Государственный Флаг Республики Казахстан, независимо от его размеров, должен соответствовать национальному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 и 10-3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Общественные объединения по видам спорта, главные тренеры обязаны обеспечить соблюдение организаторами спортивных мероприятий порядка размещения Государственного Флага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При размещении Государственного Флага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Государственный Герб Республики Казахстан, независимо от его размеров, должен соответствовать национальному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Изображения Государственного Герба Республики Казахстан, размещенные на печатях и бланках документов, официальных изданиях,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национальным стандартам.»;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Изображения Государственного Герба Республики Казахстан, размещенные на документах,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нормативным правовым актам Республики Казахстан, а также национальным стандартам.»;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35 внесено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