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5a39" w14:textId="39f5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ноября 2011 года № 1303 "Об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1503.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2011 года № 1303 «Об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применением» (САПП Республики Казахстан, 2012 г., № 2, ст.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учета, использования, перевозки, уничтожения, ввоза, вывоза гражданских пиротехнических веществ и изделий с их применением,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перевозка пиротехнических веществ и изделий, имеющих подкласс транспортной опасности 1.4, без ограничения веса производится автомобильным транспортом по маршруту, разработанному грузоотправителем или грузополучателем, с соблюдением правил перевозки одним транспортным средством, управляемым водителем, имеющим свидетельство о допуске к перевозке опасных грузов. Для сопровождения груза грузоотправитель или грузополучатель выделяют ответственное лицо, функции которого может выполнять водитель, знающий свойства и особенности перевозимых пиротехнических веществ и изделий. Согласование маршрута перевозки опасного груза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«63. При ввозе (вывозе) гражданских пиротехнических веществ и изделий автомобильным транспортом представляется согласованный с органами дорожной полиции маршрут перевозки опасного груза.».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