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12e" w14:textId="cba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1494.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(САПП Республики Казахстан, 2009 г., № 12, ст. 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«основанием для перераспределения бюджетных средств между бюджетными подпрограммами бюджетных программ развития, финансируемых за счет средств внешних займов и грантов,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отсутствии нормативного правового акта, указанного в абзаце десятом части третьей пункта 34 настоящих Правил,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(по ИС «Казначейство-клиент» отклоняются с указанием причины).»;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работ, связанных со строительством либо реконструкцией зданий, сооружений, дорог, капитальным ремонтом помещений, зданий, сооружений, дорог и других объектов, в целом производится в пределах девяноста пяти процентов от общей суммы договора. Окончательный расчет за выполненные работы между заказчиком и подрядчиком производится после завершения работ, связанных со строительством либо реконструкцией зданий, сооружений, дорог, капитальным ремонтом помещений, зданий, сооружений, дорог, других объектов, и предъявления заказчиком в территориальные подразделения казначейства подписанного акта государственной приемочной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«159-1. Авансовая (предварительная) оплата по связанным грантам при оплате доли софинансирования Правительства Республики Казахстан по проектам Программы развития Организации Объединенных Наций производится в размере 100 процентов от суммы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«161-1. Оплата услуг по взаимодействию с международными рейтинговыми агентствами Standard&amp;Poor's, Moody's и Fitch Ratings (в том числе в случае их реорганизации в другое юридическое лицо) осуществляется в соответствии с условиями и сроками, обозначенными в заключенных с ними договорах или соглашениях.»;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«Местным исполнительным органам запрещается перераспределять суммы местных бюджетных инвестиционных проектов, финансируемых за счет целевых трансфертов на развитие из вышестоящего бюджета, в пределах одной бюджетной программы на расходы, связанные с увеличением сметной стоимости бюджетного инвестиционного проекта, а также на финансирование новых бюджетных инвестиционных проектов, за исключением случаев когда введение новых бюджетных инвестиционных проектов обусловлено предупреждением или ликвидацией чрезвычайных ситуаций природного и техногенного характера регионального и глобального масштаба на основании положительного решения Республиканской бюджетной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