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412e" w14:textId="cba4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февраля 2009 года № 220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2012 года № 1494. Утратило силу постановлением Правительства Республики Казахстан от 25 апреля 2015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(САПП Республики Казахстан, 2009 г., № 12, ст. 86)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«основанием для перераспределения бюджетных средств между бюджетными подпрограммами бюджетных программ развития, финансируемых за счет средств внешних займов и грантов, в рамках годового объема бюджетных средств по бюджетной программе развития является утвержденное постановление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отсутствии нормативного правового акта, указанного в абзаце десятом части третьей пункта 34 настоящих Правил, территориальное подразделение казначейства возвращает администратору бюджетной программы справку о внесении изменений в индивидуальные планы финансирования без исполнения (по ИС «Казначейство-клиент» отклоняются с указанием причины).»;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157-2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«Оплата работ, связанных со строительством либо реконструкцией зданий, сооружений, дорог, капитальным ремонтом помещений, зданий, сооружений, дорог и других объектов, в целом производится в пределах девяноста пяти процентов от общей суммы договора. Окончательный расчет за выполненные работы между заказчиком и подрядчиком производится после завершения работ, связанных со строительством либо реконструкцией зданий, сооружений, дорог, капитальным ремонтом помещений, зданий, сооружений, дорог, других объектов, и предъявления заказчиком в территориальные подразделения казначейства подписанного акта государственной приемочной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«159-1. Авансовая (предварительная) оплата по связанным грантам при оплате доли софинансирования Правительства Республики Казахстан по проектам Программы развития Организации Объединенных Наций производится в размере 100 процентов от суммы договора.»;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«161-1. Оплата услуг по взаимодействию с международными рейтинговыми агентствами Standard&amp;Poor's, Moody's и Fitch Ratings (в том числе в случае их реорганизации в другое юридическое лицо) осуществляется в соответствии с условиями и сроками, обозначенными в заключенных с ними договорах или соглашениях.»;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«Местным исполнительным органам запрещается перераспределять суммы местных бюджетных инвестиционных проектов, финансируемых за счет целевых трансфертов на развитие из вышестоящего бюджета, в пределах одной бюджетной программы на расходы, связанные с увеличением сметной стоимости бюджетного инвестиционного проекта, а также на финансирование новых бюджетных инвестиционных проектов, за исключением случаев когда введение новых бюджетных инвестиционных проектов обусловлено предупреждением или ликвидацией чрезвычайных ситуаций природного и техногенного характера регионального и глобального масштаба на основании положительного решения Республиканской бюджетной комиссии.».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