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56e8" w14:textId="0c1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2012 года № 1452.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2008 г., № 24, ст. 227)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решения о реконструкции (перепланировке, переоборудовании) помещений (отдельных частей) существующих зданий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право собственности заявителя на изменяемый объект, с представлением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реконструкция (перепланировка, переоборудование) помещений (частей жилого дома) или перенос границ помещений затрагивают их интересы.»;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В случаях, если реконструкция (перепланировка, переоборудование) помещений (отдельных частей) существующих зданий затрагивает изменение несущих и ограждающих конструкций, инженерных систем и оборудования, а также требует отвода дополнительного земельного участка (территории, трассы), то в архитектурно-планировочном задании указывается необходимость уведомления органов государственного архитектурно-строительного контроля и надзора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