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49a7" w14:textId="a604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5 ноября 2012 года № 1399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(Обычные операции)</w:t>
      </w:r>
      <w:r>
        <w:br/>
      </w:r>
      <w:r>
        <w:rPr>
          <w:rFonts w:ascii="Times New Roman"/>
          <w:b/>
          <w:i w:val="false"/>
          <w:color w:val="000000"/>
        </w:rPr>
        <w:t>
(Транспортный коридор ЦАРЭС 1 [Обход города Тараз] Проект)</w:t>
      </w:r>
      <w:r>
        <w:br/>
      </w:r>
      <w:r>
        <w:rPr>
          <w:rFonts w:ascii="Times New Roman"/>
          <w:b/>
          <w:i w:val="false"/>
          <w:color w:val="000000"/>
        </w:rPr>
        <w:t>
[Международный транзитный коридор Западная Европа – Западная</w:t>
      </w:r>
      <w:r>
        <w:br/>
      </w:r>
      <w:r>
        <w:rPr>
          <w:rFonts w:ascii="Times New Roman"/>
          <w:b/>
          <w:i w:val="false"/>
          <w:color w:val="000000"/>
        </w:rPr>
        <w:t>
Китайская Народная Республика] между Республикой Казахстан и</w:t>
      </w:r>
      <w:r>
        <w:br/>
      </w:r>
      <w:r>
        <w:rPr>
          <w:rFonts w:ascii="Times New Roman"/>
          <w:b/>
          <w:i w:val="false"/>
          <w:color w:val="000000"/>
        </w:rPr>
        <w:t>
Азиатским Банком Развития</w:t>
      </w:r>
    </w:p>
    <w:p>
      <w:pPr>
        <w:spacing w:after="0"/>
        <w:ind w:left="0"/>
        <w:jc w:val="both"/>
      </w:pPr>
      <w:r>
        <w:rPr>
          <w:rFonts w:ascii="Times New Roman"/>
          <w:b w:val="false"/>
          <w:i w:val="false"/>
          <w:color w:val="000000"/>
          <w:sz w:val="28"/>
        </w:rPr>
        <w:t>      Ратифицировать Соглашение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 совершенное 19 июня 2012 года в Астане.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НОМЕР ЗАЙМА 2824–KAZ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(Транспортный коридор ЦАРЭС 1 [Обход города Тараз] Проект)</w:t>
      </w:r>
      <w:r>
        <w:br/>
      </w:r>
      <w:r>
        <w:rPr>
          <w:rFonts w:ascii="Times New Roman"/>
          <w:b w:val="false"/>
          <w:i w:val="false"/>
          <w:color w:val="000000"/>
          <w:sz w:val="28"/>
        </w:rPr>
        <w:t>
[Международный транзитный коридор Западная Европа – Западная</w:t>
      </w:r>
      <w:r>
        <w:br/>
      </w:r>
      <w:r>
        <w:rPr>
          <w:rFonts w:ascii="Times New Roman"/>
          <w:b w:val="false"/>
          <w:i w:val="false"/>
          <w:color w:val="000000"/>
          <w:sz w:val="28"/>
        </w:rPr>
        <w:t>
Китайская Народная Республика]</w:t>
      </w:r>
    </w:p>
    <w:p>
      <w:pPr>
        <w:spacing w:after="0"/>
        <w:ind w:left="0"/>
        <w:jc w:val="both"/>
      </w:pPr>
      <w:r>
        <w:rPr>
          <w:rFonts w:ascii="Times New Roman"/>
          <w:b w:val="false"/>
          <w:i w:val="false"/>
          <w:color w:val="000000"/>
          <w:sz w:val="28"/>
        </w:rPr>
        <w:t>между</w:t>
      </w:r>
      <w:r>
        <w:br/>
      </w:r>
      <w:r>
        <w:rPr>
          <w:rFonts w:ascii="Times New Roman"/>
          <w:b w:val="false"/>
          <w:i w:val="false"/>
          <w:color w:val="000000"/>
          <w:sz w:val="28"/>
        </w:rPr>
        <w:t>
РЕСПУБЛИКОЙ КАЗАХСТАН</w:t>
      </w:r>
      <w:r>
        <w:br/>
      </w:r>
      <w:r>
        <w:rPr>
          <w:rFonts w:ascii="Times New Roman"/>
          <w:b w:val="false"/>
          <w:i w:val="false"/>
          <w:color w:val="000000"/>
          <w:sz w:val="28"/>
        </w:rPr>
        <w:t>
и</w:t>
      </w:r>
      <w:r>
        <w:br/>
      </w:r>
      <w:r>
        <w:rPr>
          <w:rFonts w:ascii="Times New Roman"/>
          <w:b w:val="false"/>
          <w:i w:val="false"/>
          <w:color w:val="000000"/>
          <w:sz w:val="28"/>
        </w:rPr>
        <w:t>
АЗИАТСКИМ БАНКОМ РАЗВИТИЯ</w:t>
      </w:r>
      <w:r>
        <w:br/>
      </w:r>
      <w:r>
        <w:rPr>
          <w:rFonts w:ascii="Times New Roman"/>
          <w:b w:val="false"/>
          <w:i w:val="false"/>
          <w:color w:val="000000"/>
          <w:sz w:val="28"/>
        </w:rPr>
        <w:t>
ДАТА 19 ИЮНЯ 2012</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KAZ 45150</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p>
      <w:pPr>
        <w:spacing w:after="0"/>
        <w:ind w:left="0"/>
        <w:jc w:val="both"/>
      </w:pPr>
      <w:r>
        <w:rPr>
          <w:rFonts w:ascii="Times New Roman"/>
          <w:b w:val="false"/>
          <w:i w:val="false"/>
          <w:color w:val="000000"/>
          <w:sz w:val="28"/>
        </w:rPr>
        <w:t>      СОГЛАШЕНИЕ О ЗАЙМЕ от 19 июня 2012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Заемщик обратился в АБР за кредитом в целях Проекта, описанных в Приложении 1 этого Соглашения о Займе; и</w:t>
      </w:r>
    </w:p>
    <w:p>
      <w:pPr>
        <w:spacing w:after="0"/>
        <w:ind w:left="0"/>
        <w:jc w:val="both"/>
      </w:pPr>
      <w:r>
        <w:rPr>
          <w:rFonts w:ascii="Times New Roman"/>
          <w:b w:val="false"/>
          <w:i w:val="false"/>
          <w:color w:val="000000"/>
          <w:sz w:val="28"/>
        </w:rPr>
        <w:t>      (В) АБР предоставит Заемщику займ из обычных капитальных ресурсов АБР на сроки и условиях, представленных в этом документе.</w:t>
      </w:r>
    </w:p>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(a) Раздел 3.03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(a) Заемщик обязуется выплачивать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и если фиксированный спред, применимый по данному займу, будет меньше, чем увеличенный фиксированный спред, Заемщик выплатит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Следующие термины имеют нижеследующие значения:</w:t>
      </w:r>
      <w:r>
        <w:br/>
      </w:r>
      <w:r>
        <w:rPr>
          <w:rFonts w:ascii="Times New Roman"/>
          <w:b w:val="false"/>
          <w:i w:val="false"/>
          <w:color w:val="000000"/>
          <w:sz w:val="28"/>
        </w:rPr>
        <w:t>
      (a) «ЦАРЭС» означает Центрально–Азиатское Региональное Экономическое Сотрудничество;</w:t>
      </w:r>
      <w:r>
        <w:br/>
      </w:r>
      <w:r>
        <w:rPr>
          <w:rFonts w:ascii="Times New Roman"/>
          <w:b w:val="false"/>
          <w:i w:val="false"/>
          <w:color w:val="000000"/>
          <w:sz w:val="28"/>
        </w:rPr>
        <w:t>
      (b) «Транспортный коридор ЦАРЭС 1» означает Международный транзитный коридор «Западная Европа – Западная Китайская Народная Республика», проходящий от государственной границы с Китайской Народной Республикой на Хоргосе через г. Алматы и г. Шымкент до западной границы с Российской Федерацией;</w:t>
      </w:r>
      <w:r>
        <w:br/>
      </w:r>
      <w:r>
        <w:rPr>
          <w:rFonts w:ascii="Times New Roman"/>
          <w:b w:val="false"/>
          <w:i w:val="false"/>
          <w:color w:val="000000"/>
          <w:sz w:val="28"/>
        </w:rPr>
        <w:t>
      (c) «ОВОС» означает оценку воздействия на окружающую среду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(d)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(e) «Политика в отношении окружающей среды» означает принципы и требования, изложенные в главе V, приложения 1, и приложения 4 (если применимо) ПМЗ;</w:t>
      </w:r>
      <w:r>
        <w:br/>
      </w:r>
      <w:r>
        <w:rPr>
          <w:rFonts w:ascii="Times New Roman"/>
          <w:b w:val="false"/>
          <w:i w:val="false"/>
          <w:color w:val="000000"/>
          <w:sz w:val="28"/>
        </w:rPr>
        <w:t>
      (f) «Политика в области вынужденного переселения» означает принципы и требования, изложенные в главе V, приложения 2, и Приложения 4 (если применимо) ПМЗ;</w:t>
      </w:r>
      <w:r>
        <w:br/>
      </w:r>
      <w:r>
        <w:rPr>
          <w:rFonts w:ascii="Times New Roman"/>
          <w:b w:val="false"/>
          <w:i w:val="false"/>
          <w:color w:val="000000"/>
          <w:sz w:val="28"/>
        </w:rPr>
        <w:t>
      (g) «ПВЗП» означает План выкупа земель и переселения для Проекта;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(h) «Справочник по выплатам средств займа» означает справочник АБР по выплатам средств займа (от 2007 года с периодическими поправками);</w:t>
      </w:r>
      <w:r>
        <w:br/>
      </w:r>
      <w:r>
        <w:rPr>
          <w:rFonts w:ascii="Times New Roman"/>
          <w:b w:val="false"/>
          <w:i w:val="false"/>
          <w:color w:val="000000"/>
          <w:sz w:val="28"/>
        </w:rPr>
        <w:t xml:space="preserve">
      (i) «МТК» означает Министерство транспорта и коммуникаций Заемщика, и любого его правопреемника; </w:t>
      </w:r>
      <w:r>
        <w:br/>
      </w:r>
      <w:r>
        <w:rPr>
          <w:rFonts w:ascii="Times New Roman"/>
          <w:b w:val="false"/>
          <w:i w:val="false"/>
          <w:color w:val="000000"/>
          <w:sz w:val="28"/>
        </w:rPr>
        <w:t>
      (j) «область» означает территориально–административную единицу Заемщика;</w:t>
      </w:r>
      <w:r>
        <w:br/>
      </w:r>
      <w:r>
        <w:rPr>
          <w:rFonts w:ascii="Times New Roman"/>
          <w:b w:val="false"/>
          <w:i w:val="false"/>
          <w:color w:val="000000"/>
          <w:sz w:val="28"/>
        </w:rPr>
        <w:t>
      (k) «РУП» означает руководство по управлению Проектом для Проекта от 28 октября 2011 года, согласованный между Заемщиком и АБР, с периодическими обновлениями согласно соответствующим административным процедурам Заемщика (через МТК) и АБР;</w:t>
      </w:r>
      <w:r>
        <w:br/>
      </w:r>
      <w:r>
        <w:rPr>
          <w:rFonts w:ascii="Times New Roman"/>
          <w:b w:val="false"/>
          <w:i w:val="false"/>
          <w:color w:val="000000"/>
          <w:sz w:val="28"/>
        </w:rPr>
        <w:t>
      (l)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(m) «План закупок» означает план закупок для Проекта от 28 октября 2011 года,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xml:space="preserve">
      (n) «Исполнительное агентство по проекту» для целей и в рамках определения Правил предоставления займа означает МТК и любого его правопреемника, ответственного за исполнение Проекта; </w:t>
      </w:r>
      <w:r>
        <w:br/>
      </w:r>
      <w:r>
        <w:rPr>
          <w:rFonts w:ascii="Times New Roman"/>
          <w:b w:val="false"/>
          <w:i w:val="false"/>
          <w:color w:val="000000"/>
          <w:sz w:val="28"/>
        </w:rPr>
        <w:t xml:space="preserve">
      (o) «Проектная дорога» означает участки дороги, которые будут построены, улучшены или восстановлены в соответствии с Проектом, каждый случай описан более подробно в пункте 2(а) приложения 1 к настоящему Соглашению о займе; </w:t>
      </w:r>
      <w:r>
        <w:br/>
      </w:r>
      <w:r>
        <w:rPr>
          <w:rFonts w:ascii="Times New Roman"/>
          <w:b w:val="false"/>
          <w:i w:val="false"/>
          <w:color w:val="000000"/>
          <w:sz w:val="28"/>
        </w:rPr>
        <w:t>
      (p) «ПМЗ» означает политику по мерам защиты АБР (от 2009 г.);</w:t>
      </w:r>
      <w:r>
        <w:br/>
      </w:r>
      <w:r>
        <w:rPr>
          <w:rFonts w:ascii="Times New Roman"/>
          <w:b w:val="false"/>
          <w:i w:val="false"/>
          <w:color w:val="000000"/>
          <w:sz w:val="28"/>
        </w:rPr>
        <w:t>
      (q) «Политика в отношении докладов о результатах мониторинга»  означает, что каждый отчет подготовлен и представлен Заемщиком АБР, в котором изложены результаты работы по реализации и соответствия ПУОС и ПВЗП, включая любые корректирующие и предупреждающие действия; и</w:t>
      </w:r>
      <w:r>
        <w:br/>
      </w:r>
      <w:r>
        <w:rPr>
          <w:rFonts w:ascii="Times New Roman"/>
          <w:b w:val="false"/>
          <w:i w:val="false"/>
          <w:color w:val="000000"/>
          <w:sz w:val="28"/>
        </w:rPr>
        <w:t>
      (r)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девяносто пять миллионов долларов США ($ 95 000 000),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определенный в пункте (c)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 в год согласно разделу 3.02 Правил предоставления займа, минус кредит 0,20 % в год согласно разделу 3.03 Правил предоставления займа.</w:t>
      </w:r>
      <w:r>
        <w:br/>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15 мая и 15 ноября каждого года.</w:t>
      </w:r>
      <w:r>
        <w:br/>
      </w:r>
      <w:r>
        <w:rPr>
          <w:rFonts w:ascii="Times New Roman"/>
          <w:b w:val="false"/>
          <w:i w:val="false"/>
          <w:color w:val="000000"/>
          <w:sz w:val="28"/>
        </w:rPr>
        <w:t xml:space="preserve">
      Раздел 2.05. Заемщик обязуется выплатить основную сумму займа, востребованную из счета займа в соответствии с положениями приложения 2 настоящего Соглашения о займе.  </w:t>
      </w:r>
      <w:r>
        <w:br/>
      </w: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 конвертации,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Раздел 3.02. Все средства займа  должны распределяться и изыматься в соответствии с положениями приложения 3 настоящего Соглашения о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Раздел 3.03. Если АБР не указано иное,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которая может согласовываться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Раздел 4.01. (a)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социальными требованиями практики.</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Раздел 4.03. (a)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xml:space="preserve">
      Раздел 4.05. (a) Заемщик обязуется (i) вести либо обеспечить ведение отдельной отчетности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независимыми аудиторами,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девяти (9)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  </w:t>
      </w:r>
      <w:r>
        <w:br/>
      </w:r>
      <w:r>
        <w:rPr>
          <w:rFonts w:ascii="Times New Roman"/>
          <w:b w:val="false"/>
          <w:i w:val="false"/>
          <w:color w:val="000000"/>
          <w:sz w:val="28"/>
        </w:rPr>
        <w:t xml:space="preserve">
      (b) Заемщик обязуется предоставить АБР право, по требованию АБР,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4.05(a)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  </w:t>
      </w:r>
      <w:r>
        <w:br/>
      </w:r>
      <w:r>
        <w:rPr>
          <w:rFonts w:ascii="Times New Roman"/>
          <w:b w:val="false"/>
          <w:i w:val="false"/>
          <w:color w:val="000000"/>
          <w:sz w:val="28"/>
        </w:rPr>
        <w:t xml:space="preserve">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  </w:t>
      </w:r>
      <w:r>
        <w:br/>
      </w:r>
      <w:r>
        <w:rPr>
          <w:rFonts w:ascii="Times New Roman"/>
          <w:b w:val="false"/>
          <w:i w:val="false"/>
          <w:color w:val="000000"/>
          <w:sz w:val="28"/>
        </w:rPr>
        <w:t xml:space="preserve">
      Раздел 4.07. Заемщик обязуется обеспечить, чтобы все Проектные объекты эксплуатировались, обслуживались и ремонтировались в соответствии с экологическими, рациональными инженерными, финансовыми, экономическими и социальными мерами безопасности, а также в соответствии с процедурами эксплуатации и технического обслуживания дорог. </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p>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xml:space="preserve">      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xml:space="preserve">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 Проекта – содействие устойчивому экономическому развитию Заемщика путем повышения эффективности транспортной сети в Жамбылской области на участке обхода города Тараз Коридора ЦАРЭС 1 (Международного транзитного коридора Западная Европа – Западная Китайская Народная Республика).</w:t>
      </w:r>
      <w:r>
        <w:br/>
      </w:r>
      <w:r>
        <w:rPr>
          <w:rFonts w:ascii="Times New Roman"/>
          <w:b w:val="false"/>
          <w:i w:val="false"/>
          <w:color w:val="000000"/>
          <w:sz w:val="28"/>
        </w:rPr>
        <w:t>
      2. Проект должен включать в себя реконструкцию существующего участка дороги протяженностью 7,7 км II технической категории с двухполосным движением с переводом в I–б техническую категорию с цементобетонным покрытием и четырехполосным движением, а также строительство нового участка  обхода города Тараз протяженностью 57,4 км II технической категории с асфальтобетонным покрытием и двухполосным движением в рамках Транспортного коридора ЦАРЭС 1.</w:t>
      </w:r>
      <w:r>
        <w:br/>
      </w:r>
      <w:r>
        <w:rPr>
          <w:rFonts w:ascii="Times New Roman"/>
          <w:b w:val="false"/>
          <w:i w:val="false"/>
          <w:color w:val="000000"/>
          <w:sz w:val="28"/>
        </w:rPr>
        <w:t>
      3. Завершение Проекта ожидается 31 декабря 2014 года.</w:t>
      </w:r>
    </w:p>
    <w:p>
      <w:pPr>
        <w:spacing w:after="0"/>
        <w:ind w:left="0"/>
        <w:jc w:val="left"/>
      </w:pPr>
      <w:r>
        <w:rPr>
          <w:rFonts w:ascii="Times New Roman"/>
          <w:b/>
          <w:i w:val="false"/>
          <w:color w:val="000000"/>
        </w:rPr>
        <w:t xml:space="preserve"> ПРИЛОЖЕНИЕ 2 График погашения займа (Транспортный коридор ЦАРЭС 1 [Обход города Тараз] Проект)</w:t>
      </w:r>
      <w:r>
        <w:br/>
      </w:r>
      <w:r>
        <w:rPr>
          <w:rFonts w:ascii="Times New Roman"/>
          <w:b/>
          <w:i w:val="false"/>
          <w:color w:val="000000"/>
        </w:rPr>
        <w:t>
[Международный транзитный коридор Западная Европа – Западная</w:t>
      </w:r>
      <w:r>
        <w:br/>
      </w:r>
      <w:r>
        <w:rPr>
          <w:rFonts w:ascii="Times New Roman"/>
          <w:b/>
          <w:i w:val="false"/>
          <w:color w:val="000000"/>
        </w:rPr>
        <w:t>
Китайская Народная Республика]</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Borders>
          <w:top w:val="none"/>
          <w:left w:val="none"/>
          <w:bottom w:val="none"/>
          <w:right w:val="none"/>
          <w:insideH w:val="none"/>
          <w:insideV w:val="none"/>
        </w:tblBorders>
      </w:tblPr>
      <w:tblGrid>
        <w:gridCol w:w="3776"/>
        <w:gridCol w:w="3964"/>
      </w:tblGrid>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2016</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2016</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2017</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2017</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2018</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2018</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2019</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2019</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2020</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2020</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2021</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2021</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2022</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2022</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2023</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2023</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2024</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27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2024</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2025</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2025</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2026</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2026</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2027</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2027</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2028</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2028</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2029</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2029</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2030</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2030</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2031</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2031</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2032</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2032</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2033</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2033</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2034</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2034</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2035</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2035</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xml:space="preserve">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 </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xml:space="preserve">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в настоящем Приложении относятся к категории таблицы).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p>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3080"/>
        <w:gridCol w:w="3544"/>
        <w:gridCol w:w="4271"/>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РАСПРЕДЕЛЕНИЕ И СНЯТИЕ СРЕДСТВ ЗАЙМА </w:t>
            </w:r>
            <w:r>
              <w:br/>
            </w:r>
            <w:r>
              <w:rPr>
                <w:rFonts w:ascii="Times New Roman"/>
                <w:b/>
                <w:i w:val="false"/>
                <w:color w:val="000000"/>
                <w:sz w:val="20"/>
              </w:rPr>
              <w:t>
(Транспортный коридор ЦАРЭС 1 [Обход города Тараз]</w:t>
            </w:r>
            <w:r>
              <w:br/>
            </w:r>
            <w:r>
              <w:rPr>
                <w:rFonts w:ascii="Times New Roman"/>
                <w:b/>
                <w:i w:val="false"/>
                <w:color w:val="000000"/>
                <w:sz w:val="20"/>
              </w:rPr>
              <w:t>
Проект) [Международный транзитный коридор Западная</w:t>
            </w:r>
            <w:r>
              <w:br/>
            </w:r>
            <w:r>
              <w:rPr>
                <w:rFonts w:ascii="Times New Roman"/>
                <w:b/>
                <w:i w:val="false"/>
                <w:color w:val="000000"/>
                <w:sz w:val="20"/>
              </w:rPr>
              <w:t>
Европа – Западная Китайская Народная Республика]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ОСНОВА</w:t>
            </w:r>
            <w:r>
              <w:br/>
            </w:r>
            <w:r>
              <w:rPr>
                <w:rFonts w:ascii="Times New Roman"/>
                <w:b/>
                <w:i w:val="false"/>
                <w:color w:val="000000"/>
                <w:sz w:val="20"/>
              </w:rPr>
              <w:t>
ФИНАНСИРОВАНИЯ АБР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распределенная</w:t>
            </w:r>
            <w:r>
              <w:br/>
            </w:r>
            <w:r>
              <w:rPr>
                <w:rFonts w:ascii="Times New Roman"/>
                <w:b/>
                <w:i w:val="false"/>
                <w:color w:val="000000"/>
                <w:sz w:val="20"/>
              </w:rPr>
              <w:t>
для</w:t>
            </w:r>
            <w:r>
              <w:br/>
            </w:r>
            <w:r>
              <w:rPr>
                <w:rFonts w:ascii="Times New Roman"/>
                <w:b/>
                <w:i w:val="false"/>
                <w:color w:val="000000"/>
                <w:sz w:val="20"/>
              </w:rPr>
              <w:t>
финансирования</w:t>
            </w:r>
            <w:r>
              <w:br/>
            </w:r>
            <w:r>
              <w:rPr>
                <w:rFonts w:ascii="Times New Roman"/>
                <w:b/>
                <w:i w:val="false"/>
                <w:color w:val="000000"/>
                <w:sz w:val="20"/>
              </w:rPr>
              <w:t>
АБР</w:t>
            </w:r>
            <w:r>
              <w:br/>
            </w:r>
            <w:r>
              <w:rPr>
                <w:rFonts w:ascii="Times New Roman"/>
                <w:b/>
                <w:i w:val="false"/>
                <w:color w:val="000000"/>
                <w:sz w:val="20"/>
              </w:rPr>
              <w:t>
($)</w:t>
            </w:r>
            <w:r>
              <w:br/>
            </w:r>
            <w:r>
              <w:rPr>
                <w:rFonts w:ascii="Times New Roman"/>
                <w:b/>
                <w:i w:val="false"/>
                <w:color w:val="000000"/>
                <w:sz w:val="20"/>
              </w:rPr>
              <w:t>
Категория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Процент</w:t>
            </w:r>
            <w:r>
              <w:br/>
            </w:r>
            <w:r>
              <w:rPr>
                <w:rFonts w:ascii="Times New Roman"/>
                <w:b/>
                <w:i w:val="false"/>
                <w:color w:val="000000"/>
                <w:sz w:val="20"/>
              </w:rPr>
              <w:t>
финансирования АБР</w:t>
            </w:r>
            <w:r>
              <w:br/>
            </w:r>
            <w:r>
              <w:rPr>
                <w:rFonts w:ascii="Times New Roman"/>
                <w:b/>
                <w:i w:val="false"/>
                <w:color w:val="000000"/>
                <w:sz w:val="20"/>
              </w:rPr>
              <w:t>
со счета займа
</w:t>
            </w:r>
          </w:p>
        </w:tc>
      </w:tr>
      <w:tr>
        <w:trPr>
          <w:trHeight w:val="30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процентов от</w:t>
            </w:r>
            <w:r>
              <w:br/>
            </w:r>
            <w:r>
              <w:rPr>
                <w:rFonts w:ascii="Times New Roman"/>
                <w:b w:val="false"/>
                <w:i w:val="false"/>
                <w:color w:val="000000"/>
                <w:sz w:val="20"/>
              </w:rPr>
              <w:t>
общей запрашиваемой</w:t>
            </w:r>
            <w:r>
              <w:br/>
            </w:r>
            <w:r>
              <w:rPr>
                <w:rFonts w:ascii="Times New Roman"/>
                <w:b w:val="false"/>
                <w:i w:val="false"/>
                <w:color w:val="000000"/>
                <w:sz w:val="20"/>
              </w:rPr>
              <w:t>
суммы затрат</w:t>
            </w:r>
          </w:p>
        </w:tc>
      </w:tr>
      <w:tr>
        <w:trPr>
          <w:trHeight w:val="30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95 000 000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ПРИЛОЖЕНИЕ 4 Закупки работ</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Все закупки работ подлежат исполнению и контролю в соответствии с Руководством по закупкам.</w:t>
      </w:r>
      <w:r>
        <w:br/>
      </w:r>
      <w:r>
        <w:rPr>
          <w:rFonts w:ascii="Times New Roman"/>
          <w:b w:val="false"/>
          <w:i w:val="false"/>
          <w:color w:val="000000"/>
          <w:sz w:val="28"/>
        </w:rPr>
        <w:t xml:space="preserve">
      2. Все термины, используемые в этом Приложении и не определенные по-другому в настоящем Соглашении о займе, имеют значения, изложенные в  Руководстве по закупкам.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p>
      <w:pPr>
        <w:spacing w:after="0"/>
        <w:ind w:left="0"/>
        <w:jc w:val="both"/>
      </w:pPr>
      <w:r>
        <w:rPr>
          <w:rFonts w:ascii="Times New Roman"/>
          <w:b w:val="false"/>
          <w:i w:val="false"/>
          <w:color w:val="000000"/>
          <w:sz w:val="28"/>
        </w:rPr>
        <w:t>      3. Работы будут приобретаться на основе международных конкурсных торгов.</w:t>
      </w:r>
      <w:r>
        <w:br/>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p>
      <w:pPr>
        <w:spacing w:after="0"/>
        <w:ind w:left="0"/>
        <w:jc w:val="both"/>
      </w:pPr>
      <w:r>
        <w:rPr>
          <w:rFonts w:ascii="Times New Roman"/>
          <w:b w:val="false"/>
          <w:i w:val="false"/>
          <w:color w:val="000000"/>
          <w:sz w:val="28"/>
        </w:rPr>
        <w:t>      5. Заемщик не должен присуждать контракты на работы, включающих воздействие на окружающую среду до тех пор пока:</w:t>
      </w:r>
      <w:r>
        <w:br/>
      </w:r>
      <w:r>
        <w:rPr>
          <w:rFonts w:ascii="Times New Roman"/>
          <w:b w:val="false"/>
          <w:i w:val="false"/>
          <w:color w:val="000000"/>
          <w:sz w:val="28"/>
        </w:rPr>
        <w:t>
      (а)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ОВОС в контракты на работы.</w:t>
      </w:r>
      <w:r>
        <w:br/>
      </w:r>
      <w:r>
        <w:rPr>
          <w:rFonts w:ascii="Times New Roman"/>
          <w:b w:val="false"/>
          <w:i w:val="false"/>
          <w:color w:val="000000"/>
          <w:sz w:val="28"/>
        </w:rPr>
        <w:t xml:space="preserve">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7. (a) Заемщик обязуется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8. Все контракты, приобретаемые в соответствии с международными конкурсными процедурами, подлежат предварительному рассмотрению АБР.</w:t>
      </w:r>
      <w:r>
        <w:br/>
      </w:r>
      <w:r>
        <w:rPr>
          <w:rFonts w:ascii="Times New Roman"/>
          <w:b w:val="false"/>
          <w:i w:val="false"/>
          <w:color w:val="000000"/>
          <w:sz w:val="28"/>
        </w:rPr>
        <w:t>
      9. Заемщик должен получить одобрение со стороны АБР, прежде чем:</w:t>
      </w:r>
      <w:r>
        <w:br/>
      </w:r>
      <w:r>
        <w:rPr>
          <w:rFonts w:ascii="Times New Roman"/>
          <w:b w:val="false"/>
          <w:i w:val="false"/>
          <w:color w:val="000000"/>
          <w:sz w:val="28"/>
        </w:rPr>
        <w:t>
      (a) предоставить продление установленного периода на завершение работ по контракту;</w:t>
      </w:r>
      <w:r>
        <w:br/>
      </w:r>
      <w:r>
        <w:rPr>
          <w:rFonts w:ascii="Times New Roman"/>
          <w:b w:val="false"/>
          <w:i w:val="false"/>
          <w:color w:val="000000"/>
          <w:sz w:val="28"/>
        </w:rPr>
        <w:t>
      (b) согласиться на любые изменения или отказ по условиям работ по контракту, в том числе любые изменения порядка, исходя из пунктов (с) и (d), представленных ниже;</w:t>
      </w:r>
      <w:r>
        <w:br/>
      </w:r>
      <w:r>
        <w:rPr>
          <w:rFonts w:ascii="Times New Roman"/>
          <w:b w:val="false"/>
          <w:i w:val="false"/>
          <w:color w:val="000000"/>
          <w:sz w:val="28"/>
        </w:rPr>
        <w:t>
      (c) вопросы изменения порядка работ по контракту, которые будут в общей сумме увеличивать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 или</w:t>
      </w:r>
      <w:r>
        <w:br/>
      </w:r>
      <w:r>
        <w:rPr>
          <w:rFonts w:ascii="Times New Roman"/>
          <w:b w:val="false"/>
          <w:i w:val="false"/>
          <w:color w:val="000000"/>
          <w:sz w:val="28"/>
        </w:rPr>
        <w:t>
      (d) вопросы изменения объемов работ по контракту, которые будут меняться более чем на 15 % от первоначальной цены контракта (либо посредством увеличения, либо уменьшения), даже если суммарный эффект такого изменения порядка  в общей сумме не увеличит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w:t>
      </w:r>
      <w:r>
        <w:br/>
      </w:r>
      <w:r>
        <w:rPr>
          <w:rFonts w:ascii="Times New Roman"/>
          <w:b w:val="false"/>
          <w:i w:val="false"/>
          <w:color w:val="000000"/>
          <w:sz w:val="28"/>
        </w:rPr>
        <w:t>
      10. АБР должен отвечать на каждый запрос на утверждение в соответствии с вышеуказанным пунктом 9,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 документации или (d) решение по нему отложено до его рассмотрения комитета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считается утвержденным АБР. В случае (с) Заемщик должен незамедлительно предоставить запрашиваемую информацию или документацию в АБР, и АБР должен ответить на соответствующий запрос в течение 7 рабочих дней (в Маниле) по получении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11. Заемщик обязан, либо обязан обеспечить, чтобы МТК:</w:t>
      </w:r>
      <w:r>
        <w:br/>
      </w:r>
      <w:r>
        <w:rPr>
          <w:rFonts w:ascii="Times New Roman"/>
          <w:b w:val="false"/>
          <w:i w:val="false"/>
          <w:color w:val="000000"/>
          <w:sz w:val="28"/>
        </w:rPr>
        <w:t>
      (a) представила АБР в течение 7 дней копию всех документов по продлению сроков, изменений и отказов от контрактов (включая изменение порядка) после одобрения АБР в соответствии с вышеуказанным пунктом 9 и дополнительные соглашения к контрактам, а также</w:t>
      </w:r>
      <w:r>
        <w:br/>
      </w:r>
      <w:r>
        <w:rPr>
          <w:rFonts w:ascii="Times New Roman"/>
          <w:b w:val="false"/>
          <w:i w:val="false"/>
          <w:color w:val="000000"/>
          <w:sz w:val="28"/>
        </w:rPr>
        <w:t>
      (b) вести учет всех изменений порядка всех работ по контрактам, которые не требуют предварительного одобрения АБР в соответствии с вышеуказанным пунктом 9, и представлять такой отчет на рассмотрение АБР каждые 6 месяцев.</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1. Заемщик и МТК обязаны гарантировать, что Проект реализуется в соответствии с определенными мероприятиями, изложенными в РУП. Любые последующие изменения в РУП вступают в силу только после утверждения таких изменений Заемщиком (через МТК)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2. Заемщик должен поручить МТК гарантировать, что подготовка, проектирование, строительство, реализация, эксплуатация и вывод из эксплуатации Проекта соответствуют: (а) всем применимым законам и нормативным актам Заемщика, связанных с окружающей средой, здоровьем и безопасностью, (b) Политике в отношении окружающей среды и (в) всем мерам и требованиям, изложенным в ОВОС и ПУОС, и любым корректирующим или превентивным действиям, изложенным в Политике в отношении докладов о результатах мониторинга. Заемщик обязан, поручить МТК представить АБР обновленную версию ПУОС до начала работ.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переселение</w:t>
      </w:r>
    </w:p>
    <w:p>
      <w:pPr>
        <w:spacing w:after="0"/>
        <w:ind w:left="0"/>
        <w:jc w:val="both"/>
      </w:pPr>
      <w:r>
        <w:rPr>
          <w:rFonts w:ascii="Times New Roman"/>
          <w:b w:val="false"/>
          <w:i w:val="false"/>
          <w:color w:val="000000"/>
          <w:sz w:val="28"/>
        </w:rPr>
        <w:t>      3. Заемщик поручит МТК убедиться в том, что:</w:t>
      </w:r>
      <w:r>
        <w:br/>
      </w:r>
      <w:r>
        <w:rPr>
          <w:rFonts w:ascii="Times New Roman"/>
          <w:b w:val="false"/>
          <w:i w:val="false"/>
          <w:color w:val="000000"/>
          <w:sz w:val="28"/>
        </w:rPr>
        <w:t>
      (a) все земельные участки и полоса отвода, необходимые для Проекта, доступны для выполнения работ по контракту в соответствии с согласованным графиком в соответствующем контракте на работы; и</w:t>
      </w:r>
      <w:r>
        <w:br/>
      </w:r>
      <w:r>
        <w:rPr>
          <w:rFonts w:ascii="Times New Roman"/>
          <w:b w:val="false"/>
          <w:i w:val="false"/>
          <w:color w:val="000000"/>
          <w:sz w:val="28"/>
        </w:rPr>
        <w:t>
      (b) все приобретенные земли и мероприятия по переселению осуществляются в соответствии с: (i) всеми применимыми законами и нормативными актами Заемщика, связанными с приобретением земли и принудительным переселением, и (ii) политикой в области вынужденного переселения, как предусмотрено в мерах и требованиях ПВЗП, и любыми корректирующими или превентивными действиями, изложенными в политике в отношении докладов о результатах мониторинга.</w:t>
      </w:r>
      <w:r>
        <w:br/>
      </w:r>
      <w:r>
        <w:rPr>
          <w:rFonts w:ascii="Times New Roman"/>
          <w:b w:val="false"/>
          <w:i w:val="false"/>
          <w:color w:val="000000"/>
          <w:sz w:val="28"/>
        </w:rPr>
        <w:t>
      4. Не ограничивая применение политики в области вынужденного переселения или ПВЗП, Заемщик поручит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(a) Заемщик не получит одобрение АБР по окончательному варианту ПВЗП, и это ПВЗП не будет раскрыто затронутым лицам; и</w:t>
      </w:r>
      <w:r>
        <w:br/>
      </w:r>
      <w:r>
        <w:rPr>
          <w:rFonts w:ascii="Times New Roman"/>
          <w:b w:val="false"/>
          <w:i w:val="false"/>
          <w:color w:val="000000"/>
          <w:sz w:val="28"/>
        </w:rPr>
        <w:t>
      (b) компенсации и другие выплаты были предоставлены пострадавшим в соответствии с ПВЗП;</w:t>
      </w:r>
      <w:r>
        <w:br/>
      </w:r>
      <w:r>
        <w:rPr>
          <w:rFonts w:ascii="Times New Roman"/>
          <w:b w:val="false"/>
          <w:i w:val="false"/>
          <w:color w:val="000000"/>
          <w:sz w:val="28"/>
        </w:rPr>
        <w:t>
      (c) программа совокупного дохода и средства для существования были созданы в соответствии с ПВЗП; и</w:t>
      </w:r>
      <w:r>
        <w:br/>
      </w:r>
      <w:r>
        <w:rPr>
          <w:rFonts w:ascii="Times New Roman"/>
          <w:b w:val="false"/>
          <w:i w:val="false"/>
          <w:color w:val="000000"/>
          <w:sz w:val="28"/>
        </w:rPr>
        <w:t>
      (d) Заемщик представил АБР отчет, подтвержденный независимым экспертом, назначенным Заемщиком и АБР, по выполнению требований настоящего пункта, и АБР одобрил этот доклад.</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Местное население</w:t>
      </w:r>
    </w:p>
    <w:p>
      <w:pPr>
        <w:spacing w:after="0"/>
        <w:ind w:left="0"/>
        <w:jc w:val="both"/>
      </w:pPr>
      <w:r>
        <w:rPr>
          <w:rFonts w:ascii="Times New Roman"/>
          <w:b w:val="false"/>
          <w:i w:val="false"/>
          <w:color w:val="000000"/>
          <w:sz w:val="28"/>
        </w:rPr>
        <w:t>      5. Заемщик должен поручить МТК гарантировать, что Проект не оказывает какого–либо воздействия на местное население по смыслу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связанных с местным населением и МТК.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политик</w:t>
      </w:r>
    </w:p>
    <w:p>
      <w:pPr>
        <w:spacing w:after="0"/>
        <w:ind w:left="0"/>
        <w:jc w:val="both"/>
      </w:pP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ПВЗП.</w:t>
      </w:r>
      <w:r>
        <w:br/>
      </w: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и ПУОС и ПВЗП, и любые корректирующие или превентивные действия, изложенные в политике в отношении докладов о результатах мониторинга;</w:t>
      </w:r>
      <w:r>
        <w:br/>
      </w:r>
      <w:r>
        <w:rPr>
          <w:rFonts w:ascii="Times New Roman"/>
          <w:b w:val="false"/>
          <w:i w:val="false"/>
          <w:color w:val="000000"/>
          <w:sz w:val="28"/>
        </w:rPr>
        <w:t>
      (b) предоставить бюджетные средства на все эти экологические и социальные меры; а также</w:t>
      </w:r>
      <w:r>
        <w:br/>
      </w:r>
      <w:r>
        <w:rPr>
          <w:rFonts w:ascii="Times New Roman"/>
          <w:b w:val="false"/>
          <w:i w:val="false"/>
          <w:color w:val="000000"/>
          <w:sz w:val="28"/>
        </w:rPr>
        <w:t>
      (c) представить МТК письменное уведомление о любых непредвиденных рисках, связанных с экологией, переселением (в том числе временным приобретением земли и мероприятий по переселению, а также соглашений, заключенных с затронутыми лицами) или местным населением, и воздействием, которые возникают в процессе строительства, реализации или эксплуатации Проекта и которые не были рассмотрены в ОВОС, ПУОС и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Политика в отношении отчетов о результатах мониторинга</w:t>
      </w:r>
    </w:p>
    <w:p>
      <w:pPr>
        <w:spacing w:after="0"/>
        <w:ind w:left="0"/>
        <w:jc w:val="both"/>
      </w:pPr>
      <w:r>
        <w:rPr>
          <w:rFonts w:ascii="Times New Roman"/>
          <w:b w:val="false"/>
          <w:i w:val="false"/>
          <w:color w:val="000000"/>
          <w:sz w:val="28"/>
        </w:rPr>
        <w:t>      8. Заемщик должен поручить МТК выполнить следующее:</w:t>
      </w:r>
      <w:r>
        <w:br/>
      </w:r>
      <w:r>
        <w:rPr>
          <w:rFonts w:ascii="Times New Roman"/>
          <w:b w:val="false"/>
          <w:i w:val="false"/>
          <w:color w:val="000000"/>
          <w:sz w:val="28"/>
        </w:rPr>
        <w:t>
      (a) представить в АБР политика в отношении отчетов о результатах мониторинга (i) раз в полгода в период строительства и (ii), ежегодно во время эксплуатации и раскрывать соответствующую информацию из таких отчетов затронутым лиц незамедлительно после представления;</w:t>
      </w:r>
      <w:r>
        <w:br/>
      </w:r>
      <w:r>
        <w:rPr>
          <w:rFonts w:ascii="Times New Roman"/>
          <w:b w:val="false"/>
          <w:i w:val="false"/>
          <w:color w:val="000000"/>
          <w:sz w:val="28"/>
        </w:rPr>
        <w:t>
      (b) если на каком–либо этапе во время строительства, реализации и эксплуатации Проекта возникают риски в отношении окружающей среды и / или воздействия, не предусмотренные в ОВОС, ПУОС и ПВЗП, необходимо незамедлительно информировать АБР о возникновении таких рисков и воздействий, с подробным описанием событий и предлагаемым планом корректирующих действий;</w:t>
      </w:r>
      <w:r>
        <w:br/>
      </w:r>
      <w:r>
        <w:rPr>
          <w:rFonts w:ascii="Times New Roman"/>
          <w:b w:val="false"/>
          <w:i w:val="false"/>
          <w:color w:val="000000"/>
          <w:sz w:val="28"/>
        </w:rPr>
        <w:t>
      (c) не позднее даты заключения контракта на работы назначить квалифицированных и опытных внешних экспертов (эти эксперты будут финансироваться из бюджета по управлению проектом в рамках займа № 2503 между Заемщиком и АБР)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таких внешних экспертов; и</w:t>
      </w:r>
      <w:r>
        <w:br/>
      </w:r>
      <w:r>
        <w:rPr>
          <w:rFonts w:ascii="Times New Roman"/>
          <w:b w:val="false"/>
          <w:i w:val="false"/>
          <w:color w:val="000000"/>
          <w:sz w:val="28"/>
        </w:rPr>
        <w:t xml:space="preserve">
      (d) сообщать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w:t>
      </w:r>
    </w:p>
    <w:p>
      <w:pPr>
        <w:spacing w:after="0"/>
        <w:ind w:left="0"/>
        <w:jc w:val="both"/>
      </w:pPr>
      <w:r>
        <w:rPr>
          <w:rFonts w:ascii="Times New Roman"/>
          <w:b w:val="false"/>
          <w:i w:val="false"/>
          <w:color w:val="000000"/>
          <w:sz w:val="28"/>
        </w:rPr>
        <w:t>      10. Заемщик поручит МТК обеспечить включение положений в контракты на работы с тем, чтобы обеспечить соблюдение строительными подрядчиками: (a) применимых основных стандартов труда, трудового законодательства и применения соответствующих норм безопасности труда на рабочем месте; (b) равной оплаты мужчинам и женщинам за равный труд; (c) неиспользование детского труда при строительстве и мероприятиях по техническому обслуживанию дорог; (d) в возможном объеме максимального трудоустройства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(e) содействовать трудоустройству опытных и неопытных работающих женщин.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здоровья</w:t>
      </w:r>
    </w:p>
    <w:p>
      <w:pPr>
        <w:spacing w:after="0"/>
        <w:ind w:left="0"/>
        <w:jc w:val="both"/>
      </w:pPr>
      <w:r>
        <w:rPr>
          <w:rFonts w:ascii="Times New Roman"/>
          <w:b w:val="false"/>
          <w:i w:val="false"/>
          <w:color w:val="000000"/>
          <w:sz w:val="28"/>
        </w:rPr>
        <w:t xml:space="preserve">      11. Заемщик поручит МТК обеспечить распространить информацию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12.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   Заемщик обязуется и согласен (i) профинансировать любой перерасход средств, связанный с реализацией данного Проекта и (ii) что не запросит АБР предоставить дополнительное финансирование перерасходов, связанных с данным Проектом.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xml:space="preserve">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Недопущение незаконной торговли </w:t>
      </w:r>
    </w:p>
    <w:p>
      <w:pPr>
        <w:spacing w:after="0"/>
        <w:ind w:left="0"/>
        <w:jc w:val="both"/>
      </w:pPr>
      <w:r>
        <w:rPr>
          <w:rFonts w:ascii="Times New Roman"/>
          <w:b w:val="false"/>
          <w:i w:val="false"/>
          <w:color w:val="000000"/>
          <w:sz w:val="28"/>
        </w:rPr>
        <w:t>      14. Заемщик полностью обеспечит выполнение на проектной дороге надежных и строгих мер, предусмотренных законодательством для выявления и предотвращения незаконной торговли людьми, диких животных, редких видов животных и контролируемых веществ.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Борьба с коррупцией</w:t>
      </w:r>
    </w:p>
    <w:p>
      <w:pPr>
        <w:spacing w:after="0"/>
        <w:ind w:left="0"/>
        <w:jc w:val="both"/>
      </w:pPr>
      <w:r>
        <w:rPr>
          <w:rFonts w:ascii="Times New Roman"/>
          <w:b w:val="false"/>
          <w:i w:val="false"/>
          <w:color w:val="000000"/>
          <w:sz w:val="28"/>
        </w:rPr>
        <w:t>      15. Заемщик и МТК обязуются: (a) следовать политике АБР по борьбе с коррупцией  (от 1998 года, с поправками на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16.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