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2542" w14:textId="dbd2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отчетности, необходимой государственным органам, на интернет-ресурсе Фонда национального благосостояния, а также перечня, форм и периодичности размещения отчетности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2012 года № 1384. Утратило силу постановлением Правительства Республики Казахстан от 11 июля 2023 года № 550.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11.07.2023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 февраля 2012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отчетности, необходимой государственным органам, на интернет-ресурсе Фонда национального благосостояния;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периодичность размещения отчетности, необходимой государственным органам, на интернет-ресурсе Фонда национального благосостояния;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отчетности, необходимой государственным органам, размещаемой на интернет-ресурсе Фонда национального благосостояния.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шести месяцев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2012 года № 1384</w:t>
            </w:r>
          </w:p>
        </w:tc>
      </w:tr>
    </w:tbl>
    <w:bookmarkStart w:name="z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отчетности, необходимой государственным органам, на интернет-ресурсе Фонда национального благосостояния  1. Общие положения</w:t>
      </w:r>
    </w:p>
    <w:bookmarkEnd w:id="6"/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отчетности, необходимой государственным органам, на интернет-ресурсе Фонда национального благосостояния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Фонде национального благосостояния" и определяют порядок размещения Фондом национального благосостояния (далее – Фонд) и организациями, входящими в группу Фонда (далее – организации), отчетности, необходимой государственным органам, на интернет-ресурсе Фонда.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29.12.2021 </w:t>
      </w:r>
      <w:r>
        <w:rPr>
          <w:rFonts w:ascii="Times New Roman"/>
          <w:b w:val="false"/>
          <w:i w:val="false"/>
          <w:color w:val="00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Отчетность - совокупность сведений о результатах и условиях работы Фонда и/или организации за определенный период времени, составляемых на основании текущей информации о деятельности объекта отчетности, для предоставления которых Фонду и/или организации требуются сбор, обработка и/или систематизация имеющейся информации, ее обновление и осуществление иных подобных действий.</w:t>
      </w:r>
    </w:p>
    <w:bookmarkEnd w:id="8"/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определения используются в Правилах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Отчетность, предусмотренная настоящими Правилами, предоставляется посредством размещения соответствующей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формам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периодичности, утвержденными решением Правительства Республики Казахстан, на интернет-ресурсе Фонда и предоставления доступа государственным органам.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Отчетность, не предусмотренная перечнем, утвержденным решением Правительства Республики Казахстан, по запросам государственных органов Фондом и организациями не предоставляется.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и (или) организации, в случаях, прямо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Президента Республики Казахстан, Правительства Республики Казахстан, предоставляют информацию в порядке, предусмотренном указанными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также представляется во исполнение поручений Президента Республики Казахстан государственным органам при условии, что Фонд и (или) организации являются исполнителями или соисполнителями по данным поручениям, а также во исполнение соответствующих пунктов, закрепленных за Фондом и (или) организациями приказами Администрации Президента Республики Казахстан либо по ее запросам.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информация представляется без размещения на интернет-ресурсе Фонда.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передачи пакетов акций (долей участия) организаций в доверительное управление государственным органам, отчетность, касающаяся деятельности таких организаций, представляется им Фондом и организациями в соответствии с условиями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доверительного управления.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Фонд обеспечивает предоставление достоверной и своевременной информации, необходимой государственным органам, на интернет-ресурсе Фонда в порядке, предусмотренном законодательством Республики Казахстан. 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размещения отчетности на интернет-ресурсе Фонда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Отчетность, размещаемая на интернет-ресурсе Фонда в соответствии с настоящими Правилами, включает электронные информационные ресурсы, содержащие информацию о деятельности Фонда и (или) организаций, необходимую государственным органам,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формам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периодичности, утвержденными решением Правительства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Электронные информационные ресурсы, размещаемые на интернет-ресурсе Фонда в соответствии с настоящими Правилами, являются информацией ограниченного доступа и относятся к категории конфиденциальных электронных информационных ресурсов.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Фонд принимает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правовые, организационные и технические (программно-технические) меры защиты электронных информационных ресурсов ограниченного доступа, размещенных на интернет-ресурсе Фонда.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29.12.2021 </w:t>
      </w:r>
      <w:r>
        <w:rPr>
          <w:rFonts w:ascii="Times New Roman"/>
          <w:b w:val="false"/>
          <w:i w:val="false"/>
          <w:color w:val="00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интернет-ресурсе Фонда не допускается размещение электронных информационных ресурсов, отнесенных к государственным секретам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Отчетность размещается на интернет-ресурсе Фонда на государственном и русском языках и содержит: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достоверную информацию, соответствующую действительному состоянию дел субъекта отчетности в соответствующей области отчетности;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актуальную информацию.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Актуальность предоставляемой информации обеспечивается размещением (обновлением) отчетности на интернет–ресурсе Фонда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периодичностью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решением Правительства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Интернет-ресурс Фонда содержит сведения о дате и времени размещения (обновления) отчетности. При этом, на интернет-ресурсе Фонда сохраняется отчетность, размещенная ранее (до обновления).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Архивные данные отчетности не подлежат удалению с интернет-ресурса Фонда (за исключением допущенных технических ошибок) в течение 5 (пяти) лет.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Отчетность размещается на интернет-ресурсе Фонда в формате Excel и других общедоступных форматах.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занимающая объем более двадцати пяти страниц, может быть размещена на интернет-ресурсе Фонда в архивированном виде с использованием формата ZIP и других.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2012 года № 1384</w:t>
            </w:r>
          </w:p>
        </w:tc>
      </w:tr>
    </w:tbl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периодичность размещения отчетности, необходимой государственным органам, на интернет-ресурсе Фонда национального благосостояния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Правительства РК от 13.02.2023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 п/п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Периодичность размещения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Государственный орган, имеющий доступ к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заимствований и график погашения (структура гарантий) (форма 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25 числа месяца,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 (по согласованию), АПр, МНЭ, МФ, ГП  (по согласованию), АПК  (по согласованию), ВАП 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финансовой устойчивости (форма 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по истечении 80 календарных дней с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 (по согласованию), АПр, МНЭ, МФ, ГП  (по согласованию), АПК  (по согласованию), ВАП 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освоению денежных средств Национального фонда Республики Казахстан (форма 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15 числа месяца,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 (по согласованию), АПр, МНЭ, МФ, ГП (по согласованию), АПК (по согласованию), ВАП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социальным показателям дочерних организаций, имеющих статус национальных компаний (форма 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15 числа третьего месяца, следующего за отчетным периодом (по состоянию на 1 января)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 (по согласованию), АПр, МНЭ, МФ, ГП  (по согласованию), АПК  (по согласованию), ВАП 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инвестиционных проектах Фонда в рамках ГПИИР, Государственной программы инфраструктурного развития "Нұрлы жол", а также выносимых на рассмотрение Совета директоров Фонда (форма 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к 10 числу месяца,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 (по согласованию), АПр, МИИР, МНЭ, МФ, ГП  (по согласованию), АПК  (по согласованию), ВАП 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 по отрасли связи (форма 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до 10 числа месяца, следующего за отчетным периодом, и в сроки, указанные в форме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 (по согласованию), АПр, МЦРИАП, ВАП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освоению бюджетных инвестиций и кредитов Фонда (форма 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до 10 числа месяца,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 (по согласованию), АПр, МНЭ, МФ, ГП  (по согласованию), АПК  (по согласованию), ВАП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IT-специалистам группы Фонда (форма 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15 числа второго месяца, следующего за отчетным периодом (по состоянию на 1 января)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 (по согласованию), АПр, МЦРИАП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группы Фонда согласно методике классификации юридических лиц, акции (доли участия) которых прямо или косвенно принадлежат Фонду (форма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30 апреля, следующего за отчетным периодом (по состоянию на 1 января)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 (по согласованию), АПр, МНЭ, МФ, ГП (по согласованию), АПК  (по согласованию), ВАП 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развития Фонда, утвержденный Советом директоров Фонда, и отчет по его исполнению (форма 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недель после утверждения Плана развития и рассмотрения отчета Советом директоров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 (по согласованию), АПр, МНЭ, МФ, ГП (по согласованию), АПК  (по согласованию), ВАП 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причинах остатка на контрольном счете наличности Фонда (форма 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до 10 марта,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 (по согласованию), АПр, МНЭ, МФ, ГП  (по согласованию), АПК  (по согласованию), ВАП 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передаче в конкурентную среду объектов Фонда, предусмотренных в постановлении Правительства Республики Казахстан от 29 декабря 2020 года № 908 "О некоторых вопросах приватизации на 2021 – 2025 годы" (форма 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10 числа месяца,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(по согласованию), АПр, МНЭ, МФ, ГП  (по согласованию), АПК  (по согласованию), ВАП 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Фонда о начисленных прочих распределениях в пользу акционера по корпоративному центру Фонда (форма 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15 числа месяца,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 (по согласованию), АПр, ВАП 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начисленных дивидендах на государственный пакет акций Фонда (форма 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10 марта,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(по согласованию), АПр, МНЭ, МФ, ГП (по согласованию), АПК (по согласованию), ВАП  (по согласованию)</w:t>
            </w:r>
          </w:p>
        </w:tc>
      </w:tr>
    </w:tbl>
    <w:bookmarkStart w:name="z2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7"/>
    <w:bookmarkStart w:name="z2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8"/>
    <w:bookmarkStart w:name="z2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</w:p>
    <w:bookmarkEnd w:id="49"/>
    <w:bookmarkStart w:name="z2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ВАП – Высшая аудиторская палата Республики Казахстан</w:t>
      </w:r>
    </w:p>
    <w:bookmarkEnd w:id="50"/>
    <w:bookmarkStart w:name="z2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51"/>
    <w:bookmarkStart w:name="z28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ГПИИР – Государственная программа индустриально-инновационного развития Республики Казахстан на 2020 – 2025 годы.</w:t>
      </w:r>
    </w:p>
    <w:bookmarkEnd w:id="52"/>
    <w:bookmarkStart w:name="z2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53"/>
    <w:bookmarkStart w:name="z2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– акционерное общество "Фонд национального благосостояния "Самрук-Қазына"</w:t>
      </w:r>
    </w:p>
    <w:bookmarkEnd w:id="54"/>
    <w:bookmarkStart w:name="z2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– Администрация Президента Республики Казахстан</w:t>
      </w:r>
    </w:p>
    <w:bookmarkEnd w:id="55"/>
    <w:bookmarkStart w:name="z29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Агентство Республики Казахстан по противодействию коррупции</w:t>
      </w:r>
    </w:p>
    <w:bookmarkEnd w:id="56"/>
    <w:bookmarkStart w:name="z2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Казахстан.</w:t>
      </w:r>
    </w:p>
    <w:bookmarkEnd w:id="57"/>
    <w:bookmarkStart w:name="z2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 – Аппарат Правительства Республики Казахстан</w:t>
      </w:r>
    </w:p>
    <w:bookmarkEnd w:id="58"/>
    <w:bookmarkStart w:name="z2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2012 года № 1384</w:t>
            </w:r>
          </w:p>
        </w:tc>
      </w:tr>
    </w:tbl>
    <w:bookmarkStart w:name="z3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отчетности, необходимой государственным органам, размещаемой на интернет-ресурсе Фонда национального благосостояния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Формы отчетности в редакции постановления Правительства РК от 25.07.2019 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9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заимствований и график погашения (Структура гарантий) Наименование дочерней организации (корпоративного центра): Период, за который составляется отчетность: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Последующие столбцы не заполняются для гарантий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 (Гарант)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Заимодатель (Бенефициар по гарантии)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(Гарантируемый инструмент)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заимствования (Объект гарантии; цель привлечения гарантируемого заимствования)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CRDTR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INSTR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PURPS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заимствования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заимствования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Заимствования внутри группы "Самрук-Казына"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за компании группы "Самрук-Казына"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за иные компании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заимствования (Договор гарантии)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займа (Условия гарантии)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освоения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условия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REFNO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REFDT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LNCCY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LNAMNT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LNACT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INTRT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CONDS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займа (Срок гарантируемого займа)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обеспечения по займу (Вид обеспечения по гарантии)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освоения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периода доступности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остаточный срок в днях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DTPLC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AVLB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DTPMT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NDAYS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CLTRL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долга (далее -ОД) на отчетную дату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20ХХ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кв. 20ХХ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кв. 20ХХ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Y0DBT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1QPRL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1QINT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2QPRL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2QINT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3QPRL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3QINT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кв. 20ХХ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 на начало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 на начало периода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4QPRL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4QINT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Y1DBT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Y1PRL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Y1INT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Y2DBT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Y2PRL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Y2INT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20XX+5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 на начало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 на начало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 на начало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%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Y3DBT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Y3PRL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Y3INT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Y4DBT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Y4PRL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Y4INT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Y5DBT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Y5PRL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Y5INT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9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финансовой устойчивости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(факт)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20ХХ+1 (оценка)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20ХХ+2 (прогноз)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20ХХ+3 (прогноз)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20ХХ+4 (прогноз)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20ХХ+5 (прогноз)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Долг/EBITDA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покрытия процентных платежей (EBITDA/процентные расходы)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Долг/Собственный 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текущей ликвидности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9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освоению денежных средств Национального фонда Республики Казахстан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млн.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(целевое назначение)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(предусмотрено)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(перечислено)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фонду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Неосвоенный остаток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у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(= 8 + 10)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(= 4 - 6)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неосвоения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10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социальным показателям дочерних организаций (далее – ДО), имеющих статус национальных компаний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n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работников,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административно-управленческого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труда,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административно-управленческого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плата,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административно-управленческого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Текучесть кадров,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текучесть кадров среди менеджмента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bookmarkStart w:name="z10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инвестиционных проектах Фонда в рамках ГПИИР1, "Нұрлы жол"2, и выносимых на рассмотрение Совета директоров Фонда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5 - в редакции постановления Правительства РК от 29.12.2021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Цель/Эффект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 в год, млн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на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Освоенные инвестиции с начала реализации проекта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проекта, 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финансирования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млн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 общей стоимости проекта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Собст. (Фонд и ДЗО3)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РБ (НФ5)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ЕНПФ6(заем)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 (ММ. ГГ.)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выхода на проектную мощность (ММ. ГГ.)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 в натуральном выражении (с даты ввода в эксплуатацию), тонн, шт. и т.п.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 в стоимостном выражении (с даты ввода в эксплуатацию), млн тенге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(исполненные мероприятия по проекту и проводимые работы)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Проблемные вопросы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решения с указанием компетентного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Start w:name="z12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Государственная программа индустриально-инновационного развития Республики Казахстан на 2020 – 2025 годы</w:t>
      </w:r>
    </w:p>
    <w:bookmarkEnd w:id="66"/>
    <w:bookmarkStart w:name="z12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Государственная программа инфраструктурного развития "Нұрлы жол" на 2020 – 2025 годы</w:t>
      </w:r>
    </w:p>
    <w:bookmarkEnd w:id="67"/>
    <w:bookmarkStart w:name="z12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Дочерние и зависимые организации</w:t>
      </w:r>
    </w:p>
    <w:bookmarkEnd w:id="68"/>
    <w:bookmarkStart w:name="z13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Республиканский бюджет</w:t>
      </w:r>
    </w:p>
    <w:bookmarkEnd w:id="69"/>
    <w:bookmarkStart w:name="z13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Национальный фонд</w:t>
      </w:r>
    </w:p>
    <w:bookmarkEnd w:id="70"/>
    <w:bookmarkStart w:name="z13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Единый накопительный пенсионный фонд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</w:tr>
    </w:tbl>
    <w:bookmarkStart w:name="z10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Аналитическая информация по отрасли связи Ежемесячная информация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с нарастающим итогом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цифровизации местных сетей телекоммуникаций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цифровизации местных сетей телекоммуникаций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фиксированных телефонных линий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фиксированных телефонных линий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абонентов фиксированного Интернета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абонентов фиксированного широкополосного доступа к Интернету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пользователей, имеющих доступ к Интернету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пользователей, имеющих широкополосный доступ к Интернету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пропускная способность Интернета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Мбит/с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охвата услугами широкополосного доступа к Интернету с использованием технологии CDMA 450 сельских населенных пунктов с численностью от 50 человек и более (в разрезе регионов)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услугами широкополосного доступа к Интернету с использованием технологии CDMA 450 сельских населенных пунктов с численностью от 50 человек и более (в разрезе регионов)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отделений почтовой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6 </w:t>
            </w:r>
          </w:p>
        </w:tc>
      </w:tr>
    </w:tbl>
    <w:bookmarkStart w:name="z10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аналитическая информация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предоставления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за отчетный период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текущем состоянии и развитии акционерного общества "Казахтелеком"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числа, следующего за отчетным месяцем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выполненных работах по цифровым коммутационным станциям на местных сетях телекоммуникаций. Развитие местной сети телекоммуникаций. Строительство местной сети телекоммуникаций.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выполненных работах по модернизации и развитию сетей телекоммуникаций сельской связи с использованием технологии CDMA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выполненных работах по расширению Национальной информационной супермагистрали на основе технологии спектрального уплотнения DWDM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сельских населенных пунктах, обеспеченных универсальными услугами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строительство Зоновой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расширение Магистральной сети телекоммуникаций (Волоконно-оптической линии связи Национальной информационной супермагистрали)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проектах внедрения новых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доступа к Интернету и широкополосного доступа к Интернету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беспроводного доступа к Интернету на основе технологии CDMA-450/800, EV-DO, 4G (LTE), FTTH (инфраструктура, количество базовых станций, в разрезе областей)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абонентов и средняя скорость широкополосного доступа к Интернету по технологиям ADSL, FTTH, CDMA-450, EV-DO, LTE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услуг SIP-телефонии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точек доступа к широкополосному Интернету по технологии Wi-Fi, установленных в местах общественного пользования (высшие учебные заведения, больницы, гостиницы, центры обслуживания населения, областные железнодорожные вокзалы и т. д.)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ID TV (количество абонентов, инфраструктура)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6</w:t>
            </w:r>
          </w:p>
        </w:tc>
      </w:tr>
    </w:tbl>
    <w:bookmarkStart w:name="z10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показателям Международного союза электросвязи (далее – МСЭ)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МСЭ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предоставления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Фиксированная телефонная сеть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год, к 1 мая и 1 ноября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Фиксированные телефонные линии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емкость местных телефонных станций общего пользования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фиксированных телефонных линий, подключенных к цифровым телефонным станциям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112IP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Абонентские линии VoIP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доля фиксированных телефонных линий, которые обслуживают квартирных абонентов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фиксированных телефонных линий в городских районах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доля населенных пунктов с телефонным обслуживанием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таксофоны общего пользования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Абонентские линии цифровой сети с интеграцией служб (далее - ЦСИС)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Абоненты ЦСИС с базовой скоростью передачи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Абоненты ЦСИС с первичной скоростью передачи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Эквиваленты речевого канала ЦСИС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112pt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ПеренесҰнные номера в сети фиксированной телефонной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подвижной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Контракты для подвижной сотовой телефонной связи (с последующей оплатой + с предоплатой)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Контракты подвижной сотовой связи: предоплата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pop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охвата населения сетью подвижной сотовой телефонной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сетями подвижной связи 3G/4G (процентная доля населения)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271pt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номеров линий подвижной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абонентов фиксированного (проводного) Интернета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Абоненты Интернета с доступом по телефонной линии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пропускная способность Интернета (Мбит/с)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4214og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пропускная способность исходящего Интернета (Мбит/с)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4214ic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пропускная способность входящего Интернета (Мбит/с)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пропускная способность Интернета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4214di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пропускная способность входящего Интернета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4214do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пропускная способность исходящего Интернета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Абоненты широкополосного Интернета с фиксированной (проводной) связью в зависимости от технологии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4213tfb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абонентов широкополосного Интернета с фиксированным (проводным) доступом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4213cab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Абоненты Интернета с использованием кабельного модема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4213dsl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Абоненты цифровой абонентской линии (далее - ЦАЛ) (Интернет)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4213ftt h/b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Волоконно-оптическое подключение к дому/зданию (FTTH/B)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4213ob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абоненты широкополосного Интернета с фиксированным (проводным) доступом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(проводной) широкополосный доступ в зависимости от скорости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2 56to2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Абонентские линии со скоростью от 256 кбит/с до менее 2 Мбит/с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2to10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Абонентские линии со скоростью от 2 Мбит/с до менее 10 Мбит/с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G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10 Мбит/с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10to100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Абонентские линии со скоростью от 10 Мбит/с до менее 100 Мбит/с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100to1G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Абонентские линии со скоростью от 100 Мбит/с до менее 1 Гбит/с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G 1Gb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Абонентские линии со скоростью выше 1 Гбит/с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широкополосный доступ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271twb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абонентов с беспроводным широкополосным доступом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 линии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271fw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наземной фиксированной беспроводной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271mw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наземной подвижной беспроводной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271mb_use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линии подвижной связи с использованием передачи данных на широкополосных скоростях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271md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линии подвижной связи для передачи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фиксированный телефонный трафик (в минутах)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Междугородный фиксированный телефонный трафик (в минутах)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фиксированный телефонный трафик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1313w 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исходящий трафик между сетями фиксированной и подвижной связи (в минутах)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132mb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входящий и исходящий фиксированный телефонный трафик (в минутах)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исходящий фиксированный телефонный трафик (в минутах)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132mi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входящий фиксированный телефонный трафик (в минутах)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133wm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трафик подвижной связи (в минутах)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1331wm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минут исходящей/исходной подвижной связи с той же самой сетью подвижной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1332wm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минут исходящей/исходной подвижной связи с другими сетями подвижной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1332wmf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минут исходящей подвижной связи с сетями фиксированной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1333wm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минут исходящей/исходной подвижной связи с международными сетями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1335wm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минут входящей международной связи с сетью подвижной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sms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Переданные SMS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133mm 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Переданные MMS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132tb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международный входящий и исходящий телефонный трафик (в минутах)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международный исходящий телефонный трафик (в минутах)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132ti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международный входящий телефонный трафик (в минутах)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VoIP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VoIP в минутах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135tfb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Интернет–трафик с использованием фиксированной (проводной) широкополосной связи (Гбайт)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136mwi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Интернет–трафик с использованием подвижной широкополосной связи (в пределах страны) (Гбайт)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136mwo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Интернет–трафик с использованием подвижной широкополосной связи (за пределами страны, исходящий роуминг) (Гбайт)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услуги фиксированной местной телефонной связи - линии для квартирных абонентов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установку в рамках услуг телефонной связи для квартирных абонентов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абонентская плата за услуги телефонной связи для квартирных абонентов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трех минут разговора в случае местного вызова по сети фиксированной телефонной связи (тариф в период максимальной нагрузки)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трех минут разговора в случае местного вызова по сети фиксированной телефонной связи (тариф в обычное время)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услуги фиксированной местной телефонной связи - корпоративные линии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установку в рамках услуг корпоративной телефонной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абонентская плата за услуги корпоративной телефонной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подвижную сотовую связь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подключение к сети подвижной сотовой связи с последующей оплатой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подключение к сети подвижной сотовой связи с предоплатой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абонентская плата за подвижную сотовую связь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- стоимость трех минут местного вызова (в период максимальной нагрузки в той же сети)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с предоплатой - цена за минуту местного вызова (в период максимальной нагрузки в той же сети)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с предоплатой - цена за минуту местного вызова (в период максимальной нагрузки в другой сети)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с предоплатой - цена за минуту местного вызова (в период максимальной нагрузки, с фиксированной линией связи)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- стоимость трех минут местного вызова (в обычное время в той же сети)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с предоплатой - цена за минуту местного вызова (в обычное время в той же сети)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153роо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с предоплатой - цена за минуту местного вызова (в обычное время в другой сети)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153pof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с предоплатой - цена за минуту местного вызова (в обычное время, с фиксированной линией связи)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153рwn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с предоплатой - цена за минуту местного вызова (в выходные дни/вечером в той же сети)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153pwo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с предоплатой - цена за минуту местного вызова (в выходные дни/вечером в другой сети)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153pwf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с предоплатой - цена за минуту местного вызова (в выходные дни/вечером, с фиксированной линией связи)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153sms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- стоимость SMS (в той же сети)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153sms_po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- стоимость SMS (в другой сети)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Интернет с широкополосным доступом посредством фиксированной (проводной)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4213bс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широкополосный доступ к Интернету с фиксированной (проводной) связью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4213bs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абонентская плата за пользование Интернетом с широкополосным доступом посредством фиксированной (проводной) связи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4213bs_s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передачи при использовании фиксированного широкополосного доступа, в Мбит/с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4213bs_с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объем трафика при использовании фиксированного (проводного) широкополосного доступа, в ГБ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4213bs_cp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превышение ограничения на широкополосный доступ посредством фиксированной (проводной)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обслуживания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очередников для фиксированных линий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неисправностей на 100 фиксированных линий за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неисправностей фиксированных телефонных линий, устраненных к следующему рабочему дню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безуспешных вызовов при подвижной сотовой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отброшенных вызовов при подвижной сотовой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 на 100 контрактов на фиксированную (проводную) широкополосную связь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активации обслуживания в отношении услуги фиксированной (проводной) широкополосной связи (в днях)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персонала в сфере электросвязи, работающего полный рабочий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If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персонала в сфере электросвязи женского пола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персонала в сфере подвижной электросвязи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доход от всех услуг электросвязи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услуг фиксированной телефонной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подвижной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годовые инвестиции в электросвязь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службу фиксированной телефонной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(проводную) широкополосную связь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подвижную связь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инвестиции в электросвязь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Платное телевидение (далее - ТВ)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965IP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Абонентские подключения IPTV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Абонентские подключения спутникового 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965cab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Абонентские подключения кабельного 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965oth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абонентских подключений 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6</w:t>
            </w:r>
          </w:p>
        </w:tc>
      </w:tr>
    </w:tbl>
    <w:bookmarkStart w:name="z11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показателям Регионального содружества в области связи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предоставления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стационарных отделений почтовой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 к 1 мая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почтальонов,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Почтово-кассовые терминалы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(далее - ед.)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почтово-кассовые терминалы, используемые в качестве пунктов подключений к сети передачи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автомобилей, используемых на перевозке почты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контрольных сроков прохождения международных и внутренних отправлений EMS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контрольных сроков прохождения письменной корреспонденции (для внутренних отправлений)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Письменная корреспонденция,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письменная корреспонденция,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нее: международная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заказная письменная корреспонденция,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письменная корреспонденция с объявленной ценностью,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единиц (далее - тыс. ед.)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нее: международная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 периодических печатных изданий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отправленных и доставленных внутри страны по подписке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реализованных в розницу через сеть почтовых отделений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Гибридная почта,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пенсий и пособий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Посылки,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Отправления ускоренной почты (услуги EMS),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(далее - шт.)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почтовый обмен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 письменная корреспонденция,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письменная корреспонденция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заказная письменная корреспонденция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письменная корреспонденция с объявленной ценностью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мешки "М"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посылки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отправления от посылторговых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сообщения электронной почты (гибридная почта)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отправления ускоренной почты (услуги EMS)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переводы, всего,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платный обмен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платный обмен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услуги почтовой связи: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пересылку простого письма в пределах страны (весом до 20 грамм):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национальной валюты (далее - ед. нац. валюты)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 (далее - дол. США)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бюджетных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нац. 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дол. 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коммерческих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нац. 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дол. 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пересылку почтового денежного перевода в пределах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нац. 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дол. 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бюджетных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нац. 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дол. 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коммерческих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нац. 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дол. 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пересылку обыкновенной посылки наземным транспортом в пределах страны (в номинальном весе на соответствующий период)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нац. 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дол. 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бюджетных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нац. 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дол. 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коммерческих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нац. 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дол. 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услуг почтовой связи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 нац. 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услуг почтовой связи на душу населения: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нац. валюты/чел.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численность работников почтовой связи всего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 (далее - тыс. чел.)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работающих на полную ставку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работающих женщин от общей численности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</w:t>
            </w:r>
          </w:p>
        </w:tc>
      </w:tr>
    </w:tbl>
    <w:bookmarkStart w:name="z11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освоению бюджетных инвестиций и кредитов Фонда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предоставления бюджетных инвестиций/кредитов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проекта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предусмотренных Законом о республиканском бюджете бюджетных инвестиций/кредитов, млн.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выделенных бюджетных инвестиций/кредитов, млн.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освоенных средств исполнителем проекта, млн.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неосвоенных средств, млн.тенге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освоения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неосвоения бюджетных инвестиций/кредитов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инвестиции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</w:t>
            </w:r>
          </w:p>
        </w:tc>
      </w:tr>
    </w:tbl>
    <w:bookmarkStart w:name="z11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IT-специалистам группы Фонда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IT-специалистов в группе Фонда (чел.)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IT-специалисты высшего уровня квалификации в разрезе специальностей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аналитик (чел.)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 (чел.)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IТ-специальности (чел.)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9</w:t>
            </w:r>
          </w:p>
        </w:tc>
      </w:tr>
    </w:tbl>
    <w:bookmarkStart w:name="z11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группы Фонда</w:t>
      </w:r>
      <w:r>
        <w:rPr>
          <w:rFonts w:ascii="Times New Roman"/>
          <w:b/>
          <w:i w:val="false"/>
          <w:color w:val="000000"/>
          <w:vertAlign w:val="superscript"/>
        </w:rPr>
        <w:t>7</w:t>
      </w:r>
      <w:r>
        <w:rPr>
          <w:rFonts w:ascii="Times New Roman"/>
          <w:b/>
          <w:i w:val="false"/>
          <w:color w:val="000000"/>
        </w:rPr>
        <w:t xml:space="preserve"> согласно Методике классификации юридических лиц, акции (доли участия) которых прямо или косвенно принадлежат Фонду</w:t>
      </w:r>
      <w:r>
        <w:rPr>
          <w:rFonts w:ascii="Times New Roman"/>
          <w:b/>
          <w:i w:val="false"/>
          <w:color w:val="000000"/>
          <w:vertAlign w:val="superscript"/>
        </w:rPr>
        <w:t>8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компаний (дочерняя организация/ассоциированная компания, совместное предприятие)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владения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организаций,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(АО)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(ТОО)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дочерних, зависимых и иных юридических лиц Фонда, являющихся аффилированными с ними, на которые Фонд имеет значительное влияние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Утверждена Правлением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Бизнес-идентификационный номер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10</w:t>
            </w:r>
          </w:p>
        </w:tc>
      </w:tr>
    </w:tbl>
    <w:bookmarkStart w:name="z11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развития Фонда, утвержденный Советом директоров Фонда, и отчет по его исполнению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20ХХ-2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20ХХ-1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Макроэкономические 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потребительских цен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цена на нефть (Брент)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дол. США за баррель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 тенге к доллару 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за 1 доллар в среднем за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Реальный рост ВВП, в 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Ключевые показатели деятельности (КПД) по группе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Консолидированные финансовые 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Показатели финансовой устойчивости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основной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реализации, процентные доходы и прочие финансовые доходы (для ДО финансового сегмента по их основной деятельности), прочие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неосновной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расходы на текущую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продукции/услуг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транспортировке и реализации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прибыль "+"/ убыток "-"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доходах/убытках организаций, учитываемых по методу долевого участия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Доход/ (убыток) от прекращенной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подоходному налогу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доход/(убыток) до вычета доли меньшинства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доход/ (убыток)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акционеру (Правительству)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расходы на развитие (инвестиции)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Фонда в Уставный капитал 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долей участия (без БВУ)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 рабочем состоянии производственных активов и прочих основных средств, непосредственно участвующих в процессе производственной деятельности 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инвестиционных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уставный капитал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и долговые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20ХХ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20ХХ+1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20ХХ+2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20ХХ+3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20ХХ+4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План на год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% к оценке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План на 1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План на 2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План на 3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Прогноз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Прогноз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Прогноз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Прогноз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11</w:t>
            </w:r>
          </w:p>
        </w:tc>
      </w:tr>
    </w:tbl>
    <w:bookmarkStart w:name="z12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причинах остатка на контрольном счете наличности Фонда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АРБП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компании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Неиспользованный остаток на контрольном счете наличности (далее – КСН) Фонда на начало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средств, предусмотренных в Законе о РБ, в отчетном финансовом году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средств на КСН Фонда (гр.4 + гр.7)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на КСН Фонда за отчетный финансовый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 КСН Фонда за отчетный финансовый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Неиспользованный остаток на КСН Фонда на конец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неиспользования средств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поступлений отчетного финансового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остатки средств отчетного финансового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Администратор республиканской бюджетной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Бюджетная программа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12</w:t>
            </w:r>
          </w:p>
        </w:tc>
      </w:tr>
    </w:tbl>
    <w:bookmarkStart w:name="z12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передаче в конкурентную среду объектов Фонда, предусмотренных в постановлении Правительства Республики Казахстан от 29 декабря 2020 года № 908 "О некоторых вопросах приватизации на 2021 – 2025 годы" (далее – ППРК № 908)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12 - в редакции постановления Правительства РК от 29.12.2021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приложении № 2/№ 5/ № 6 к ППРК 908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собственности, всего, 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 продажу (передачу),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конкурентную среду, 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продажи (подписание договора купли-продажи)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выбытия из структуры Фонда (продано, ликвидировано, реорганизовано)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продажи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ППРК № 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приложению 2 ППРК № 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приложению 5 ППРК № 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приложению 6 ППРК № 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Стоимость12, тыс. тенге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Балансовая13 (собственный капитал)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(стартовая)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11=10-8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12=10-9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Не требуется заполнение по ликвидированным и реорганизованным активам.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Указываются финансовые показатели за отчетный год, предшествующий году продажи актива.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13</w:t>
            </w:r>
          </w:p>
        </w:tc>
      </w:tr>
    </w:tbl>
    <w:bookmarkStart w:name="z12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Фонда о начисленных прочих распределениях в пользу Акционера по корпоративному центру Фонда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поручения,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14</w:t>
            </w:r>
          </w:p>
        </w:tc>
      </w:tr>
    </w:tbl>
    <w:bookmarkStart w:name="z12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перечислению дивидендов на государственный пакет акций Фонда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права владения и пользования государственным пакетом акции (далее – ГПА)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ГПА, в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по итогам года, предшествующего отчетному финансовому году (тыс.тенге)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дивидендов на ГПА в отчетном финансовом году (тыс.тенге)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состоянию на "____" ______________________ 20___г.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