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1a7b" w14:textId="1b61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2010 года № 1528 "Об утверждении Правил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и Ставок налога на добычу полезных ископаемых для недропользователей, разрабатывающих обводненные, малодебитные, выработанные, высоковязкие месторождения углеводородного сырья"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2012 года № 1248. Утратило силу постановлением Правительства Республики Казахстан от 18 апреля 2018 года № 204 (вводится в действие с 01.01.2018)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18.04.2018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1528 "Об утверждении Правил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и Ставок налога на добычу полезных ископаемых для недропользователей, разрабатывающих обводненные, малодебитные, выработанные, высоковязкие месторождения углеводородного сырья" следующие изменения:</w:t>
      </w:r>
    </w:p>
    <w:bookmarkEnd w:id="1"/>
    <w:bookmarkStart w:name="z3" w:id="2"/>
    <w:p>
      <w:pPr>
        <w:spacing w:after="0"/>
        <w:ind w:left="0"/>
        <w:jc w:val="both"/>
      </w:pPr>
      <w:r>
        <w:rPr>
          <w:rFonts w:ascii="Times New Roman"/>
          <w:b w:val="false"/>
          <w:i w:val="false"/>
          <w:color w:val="000000"/>
          <w:sz w:val="28"/>
        </w:rPr>
        <w:t>
      1)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w:t>
      </w:r>
    </w:p>
    <w:bookmarkStart w:name="z4" w:id="3"/>
    <w:p>
      <w:pPr>
        <w:spacing w:after="0"/>
        <w:ind w:left="0"/>
        <w:jc w:val="both"/>
      </w:pPr>
      <w:r>
        <w:rPr>
          <w:rFonts w:ascii="Times New Roman"/>
          <w:b w:val="false"/>
          <w:i w:val="false"/>
          <w:color w:val="000000"/>
          <w:sz w:val="28"/>
        </w:rPr>
        <w:t>
      2) преамбулу изложить в следующей редакции:</w:t>
      </w:r>
    </w:p>
    <w:bookmarkEnd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307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"1. Утвердить прилагаемые Правила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Start w:name="z6"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утвержденных указанным постановлением (далее - Правила):</w:t>
      </w:r>
    </w:p>
    <w:bookmarkEnd w:id="5"/>
    <w:bookmarkStart w:name="z7" w:id="6"/>
    <w:p>
      <w:pPr>
        <w:spacing w:after="0"/>
        <w:ind w:left="0"/>
        <w:jc w:val="both"/>
      </w:pPr>
      <w:r>
        <w:rPr>
          <w:rFonts w:ascii="Times New Roman"/>
          <w:b w:val="false"/>
          <w:i w:val="false"/>
          <w:color w:val="000000"/>
          <w:sz w:val="28"/>
        </w:rPr>
        <w:t>
      заголовок изложить в следующей редакции:</w:t>
      </w:r>
    </w:p>
    <w:bookmarkEnd w:id="6"/>
    <w:p>
      <w:pPr>
        <w:spacing w:after="0"/>
        <w:ind w:left="0"/>
        <w:jc w:val="both"/>
      </w:pPr>
      <w:r>
        <w:rPr>
          <w:rFonts w:ascii="Times New Roman"/>
          <w:b w:val="false"/>
          <w:i w:val="false"/>
          <w:color w:val="000000"/>
          <w:sz w:val="28"/>
        </w:rPr>
        <w:t>
      "Правила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заголовок изложить в следующей редакции:</w:t>
      </w:r>
    </w:p>
    <w:bookmarkEnd w:id="8"/>
    <w:p>
      <w:pPr>
        <w:spacing w:after="0"/>
        <w:ind w:left="0"/>
        <w:jc w:val="both"/>
      </w:pPr>
      <w:r>
        <w:rPr>
          <w:rFonts w:ascii="Times New Roman"/>
          <w:b w:val="false"/>
          <w:i w:val="false"/>
          <w:color w:val="000000"/>
          <w:sz w:val="28"/>
        </w:rPr>
        <w:t>
      "Порядок отнесения месторождения (группы месторождений, части месторождения) углеводородного сырья к категории низкорентабельных и порядок налогообложения в части налога на добычу полезных ископаемых";</w:t>
      </w:r>
    </w:p>
    <w:bookmarkStart w:name="z10"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"1. Порядок подачи и рассмотрения заявлений об отнесении месторождения (группы месторождений, части месторождения) углеводородного сырья к категории низкорентабельных";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отнесения месторождения (группы месторождений, части месторождения) углеводородного сырья к категории низкорентабельных недропользователь, осуществляющий деятельность, предусматривающую разработку месторождения углеводородного сырья, соответствующего критериям, определенным подразделом 2 настоящего раздела, обращается в уполномоченный орган по государственному планированию (далее – уполномоченный орган) с заявлением.";</w:t>
      </w:r>
    </w:p>
    <w:bookmarkStart w:name="z12" w:id="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"2.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по форме, согласно приложению 1 к настоящим Правилам, в срок не позднее 1 ноября такого календарного года. К заявлению должны быть приложены следующие документы:";</w:t>
      </w:r>
    </w:p>
    <w:bookmarkStart w:name="z13" w:id="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"3. Заявление об отнесении месторождения (группы месторождений, части месторождения) к категории низкорентабельных на предстоящий календарный год подается по форме, согласно приложению 1 к настоящим Правилам, не ранее 30 сентября текущего года, но не позднее 31 декабря текущего года. К заявлению помимо документов, указанных в пункте 2 настоящих Правил, прилагаются следующие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Уполномоченный орган в срок не позднее пяти рабочих дней после поступления заявления, в случае непредставления полного перечня документов, предусмотренных пунктом 2 настоящих Правил, или подачи его с нарушением требований настоящих Правил, отказывает в рассмотрении заявления.</w:t>
      </w:r>
    </w:p>
    <w:bookmarkStart w:name="z15" w:id="12"/>
    <w:p>
      <w:pPr>
        <w:spacing w:after="0"/>
        <w:ind w:left="0"/>
        <w:jc w:val="both"/>
      </w:pPr>
      <w:r>
        <w:rPr>
          <w:rFonts w:ascii="Times New Roman"/>
          <w:b w:val="false"/>
          <w:i w:val="false"/>
          <w:color w:val="000000"/>
          <w:sz w:val="28"/>
        </w:rPr>
        <w:t>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 обосновывающие сведения, содержащиеся в заявлении.</w:t>
      </w:r>
    </w:p>
    <w:bookmarkEnd w:id="12"/>
    <w:bookmarkStart w:name="z16" w:id="13"/>
    <w:p>
      <w:pPr>
        <w:spacing w:after="0"/>
        <w:ind w:left="0"/>
        <w:jc w:val="both"/>
      </w:pPr>
      <w:r>
        <w:rPr>
          <w:rFonts w:ascii="Times New Roman"/>
          <w:b w:val="false"/>
          <w:i w:val="false"/>
          <w:color w:val="000000"/>
          <w:sz w:val="28"/>
        </w:rPr>
        <w:t>
      5. При представлении полного перечня документов, предусмотренных пунктом 2 настоящих Правил, уполномоченный орган в срок не позднее пяти рабочих дней после поступления заявления направляет копии заявления и прилагаемых к нему документов на рассмотрение в нижеперечисленные государственные органы для подготовки заключений по вопросам:</w:t>
      </w:r>
    </w:p>
    <w:bookmarkEnd w:id="13"/>
    <w:bookmarkStart w:name="z17" w:id="14"/>
    <w:p>
      <w:pPr>
        <w:spacing w:after="0"/>
        <w:ind w:left="0"/>
        <w:jc w:val="both"/>
      </w:pPr>
      <w:r>
        <w:rPr>
          <w:rFonts w:ascii="Times New Roman"/>
          <w:b w:val="false"/>
          <w:i w:val="false"/>
          <w:color w:val="000000"/>
          <w:sz w:val="28"/>
        </w:rPr>
        <w:t>
      1) в Министерство финансов Республики Казахстан - для подтверждения данных налоговой отчетности;</w:t>
      </w:r>
    </w:p>
    <w:bookmarkEnd w:id="14"/>
    <w:bookmarkStart w:name="z18" w:id="15"/>
    <w:p>
      <w:pPr>
        <w:spacing w:after="0"/>
        <w:ind w:left="0"/>
        <w:jc w:val="both"/>
      </w:pPr>
      <w:r>
        <w:rPr>
          <w:rFonts w:ascii="Times New Roman"/>
          <w:b w:val="false"/>
          <w:i w:val="false"/>
          <w:color w:val="000000"/>
          <w:sz w:val="28"/>
        </w:rPr>
        <w:t>
      2) в Министерство нефти и газа Республики Казахстан - по вопросам обоснованности планируемых объемов добычи углеводородного сырья и объема операций по недропользованию с учетом утвержденных в установленном законодательством Республики Казахстан порядке рабочих программ (годовых программ работ) и (или) проектных решений и обязательств по контракту на недропользование;</w:t>
      </w:r>
    </w:p>
    <w:bookmarkEnd w:id="15"/>
    <w:bookmarkStart w:name="z19" w:id="16"/>
    <w:p>
      <w:pPr>
        <w:spacing w:after="0"/>
        <w:ind w:left="0"/>
        <w:jc w:val="both"/>
      </w:pPr>
      <w:r>
        <w:rPr>
          <w:rFonts w:ascii="Times New Roman"/>
          <w:b w:val="false"/>
          <w:i w:val="false"/>
          <w:color w:val="000000"/>
          <w:sz w:val="28"/>
        </w:rPr>
        <w:t>
      3) иные государственные органы - по вопросам,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налога на добычу полезных ископаемых.</w:t>
      </w:r>
    </w:p>
    <w:bookmarkEnd w:id="16"/>
    <w:bookmarkStart w:name="z20" w:id="17"/>
    <w:p>
      <w:pPr>
        <w:spacing w:after="0"/>
        <w:ind w:left="0"/>
        <w:jc w:val="both"/>
      </w:pPr>
      <w:r>
        <w:rPr>
          <w:rFonts w:ascii="Times New Roman"/>
          <w:b w:val="false"/>
          <w:i w:val="false"/>
          <w:color w:val="000000"/>
          <w:sz w:val="28"/>
        </w:rPr>
        <w:t>
      Заключения соответствующих государственных органов должны быть представлены в уполномоченный орган в срок не позднее тридцати календарных дней с момента получения копии заявления и прилагаемых к нему документов от уполномоченного органа.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индивидуальной ставки налога на добычу полезных ископаемых.</w:t>
      </w:r>
    </w:p>
    <w:bookmarkEnd w:id="17"/>
    <w:bookmarkStart w:name="z21" w:id="18"/>
    <w:p>
      <w:pPr>
        <w:spacing w:after="0"/>
        <w:ind w:left="0"/>
        <w:jc w:val="both"/>
      </w:pPr>
      <w:r>
        <w:rPr>
          <w:rFonts w:ascii="Times New Roman"/>
          <w:b w:val="false"/>
          <w:i w:val="false"/>
          <w:color w:val="000000"/>
          <w:sz w:val="28"/>
        </w:rPr>
        <w:t>
      6. В срок не позднее пяти рабочих дней с даты получения всех заключений государственных органов, указанных в пункте 5 настоящих Правил, уполномоченный орган вносит заявление с приложением заключений государственных органов на рассмотрение межведомственной комиссии, которая вырабатывает рекомендации по отнесению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за исключением общераспространенных полезных ископаемых (далее – комиссия).</w:t>
      </w:r>
    </w:p>
    <w:bookmarkEnd w:id="18"/>
    <w:bookmarkStart w:name="z22" w:id="19"/>
    <w:p>
      <w:pPr>
        <w:spacing w:after="0"/>
        <w:ind w:left="0"/>
        <w:jc w:val="both"/>
      </w:pPr>
      <w:r>
        <w:rPr>
          <w:rFonts w:ascii="Times New Roman"/>
          <w:b w:val="false"/>
          <w:i w:val="false"/>
          <w:color w:val="000000"/>
          <w:sz w:val="28"/>
        </w:rPr>
        <w:t>
      В срок не позднее десяти рабочих дней комиссия должна рассмотреть заявление и заключения государственных органов и выработать предложение об отнесении или отказе в отнесении месторождения (группы месторождений, части месторождения) углеводородного сырья к категории низкорентабельных, о размере ставки налога на добычу полезных ископаемых по низкорентабельному месторождению (в случае выработки предложения об отнесении месторождения (группы месторождений, части месторождения) углеводородного сырья к категории низкорентабельных).</w:t>
      </w:r>
    </w:p>
    <w:bookmarkEnd w:id="19"/>
    <w:bookmarkStart w:name="z23" w:id="20"/>
    <w:p>
      <w:pPr>
        <w:spacing w:after="0"/>
        <w:ind w:left="0"/>
        <w:jc w:val="both"/>
      </w:pPr>
      <w:r>
        <w:rPr>
          <w:rFonts w:ascii="Times New Roman"/>
          <w:b w:val="false"/>
          <w:i w:val="false"/>
          <w:color w:val="000000"/>
          <w:sz w:val="28"/>
        </w:rPr>
        <w:t>
      7. В случае выработки комиссией предложения об отнесении месторождения (группы месторождений, части месторождения) углеводородного сырья к категории низкорентабельных, уполномоченный орган в течение десяти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углеводородного сырья в перечень отнесенных к категории низкорентабельных с приложением ставок налога на добычу полезных ископаемых, устанавливаемых в соответствии с пунктом 12 настоящих Правил, и указанием календарного года, в течение которого будут применяться такие ставки.";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Решение об отказе в отнесении месторождения (группы месторождений, части месторождения) углеводородного сырья к категории низкорентабельных принимается уполномоченным органом с учетом предложений, выработанных комиссией, и доводится до сведения недропользователя в течение десяти рабочих дней после вынесения комиссией соответствующего решения с указанием причин отказа.</w:t>
      </w:r>
    </w:p>
    <w:bookmarkStart w:name="z25" w:id="21"/>
    <w:p>
      <w:pPr>
        <w:spacing w:after="0"/>
        <w:ind w:left="0"/>
        <w:jc w:val="both"/>
      </w:pPr>
      <w:r>
        <w:rPr>
          <w:rFonts w:ascii="Times New Roman"/>
          <w:b w:val="false"/>
          <w:i w:val="false"/>
          <w:color w:val="000000"/>
          <w:sz w:val="28"/>
        </w:rPr>
        <w:t>
      10. Основаниями для отказа в отнесении месторождения (группы месторождений, части месторождения) углеводородного сырья к категории низкорентабельных являются:</w:t>
      </w:r>
    </w:p>
    <w:bookmarkEnd w:id="21"/>
    <w:bookmarkStart w:name="z26" w:id="22"/>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уплате корпоративного подоходного налога,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пункту 11 настоящих Правил;</w:t>
      </w:r>
    </w:p>
    <w:bookmarkEnd w:id="22"/>
    <w:bookmarkStart w:name="z27" w:id="23"/>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углеводородное сырье за соответствующий календарный год, используемой для расчета уровня рентабельности;</w:t>
      </w:r>
    </w:p>
    <w:bookmarkEnd w:id="23"/>
    <w:bookmarkStart w:name="z28" w:id="24"/>
    <w:p>
      <w:pPr>
        <w:spacing w:after="0"/>
        <w:ind w:left="0"/>
        <w:jc w:val="both"/>
      </w:pPr>
      <w:r>
        <w:rPr>
          <w:rFonts w:ascii="Times New Roman"/>
          <w:b w:val="false"/>
          <w:i w:val="false"/>
          <w:color w:val="000000"/>
          <w:sz w:val="28"/>
        </w:rPr>
        <w:t>
      3) несоответствие заявленных по месторождению (группе месторождений, части месторождения) объемов добычи на соответствующий календарный год планируемым объемам добычи;</w:t>
      </w:r>
    </w:p>
    <w:bookmarkEnd w:id="24"/>
    <w:bookmarkStart w:name="z29" w:id="25"/>
    <w:p>
      <w:pPr>
        <w:spacing w:after="0"/>
        <w:ind w:left="0"/>
        <w:jc w:val="both"/>
      </w:pPr>
      <w:r>
        <w:rPr>
          <w:rFonts w:ascii="Times New Roman"/>
          <w:b w:val="false"/>
          <w:i w:val="false"/>
          <w:color w:val="000000"/>
          <w:sz w:val="28"/>
        </w:rPr>
        <w:t>
      4) существенное (свыше 10 %) и (или) необоснованное увеличение производственных затрат, затрат на реализацию и общеадминистративных затрат в расчете на тонну углеводородного сырья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End w:id="25"/>
    <w:bookmarkStart w:name="z30" w:id="26"/>
    <w:p>
      <w:pPr>
        <w:spacing w:after="0"/>
        <w:ind w:left="0"/>
        <w:jc w:val="both"/>
      </w:pPr>
      <w:r>
        <w:rPr>
          <w:rFonts w:ascii="Times New Roman"/>
          <w:b w:val="false"/>
          <w:i w:val="false"/>
          <w:color w:val="000000"/>
          <w:sz w:val="28"/>
        </w:rPr>
        <w:t>
      5) превышение фактическим или планируемым уровнем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уровня 0 %.</w:t>
      </w:r>
    </w:p>
    <w:bookmarkEnd w:id="26"/>
    <w:bookmarkStart w:name="z31" w:id="27"/>
    <w:p>
      <w:pPr>
        <w:spacing w:after="0"/>
        <w:ind w:left="0"/>
        <w:jc w:val="both"/>
      </w:pPr>
      <w:r>
        <w:rPr>
          <w:rFonts w:ascii="Times New Roman"/>
          <w:b w:val="false"/>
          <w:i w:val="false"/>
          <w:color w:val="000000"/>
          <w:sz w:val="28"/>
        </w:rPr>
        <w:t>
      В случае устранения причин, по которым недропользователю было отказано в отнесении месторождения (группы месторождений, части месторождения) углеводородного сырья к категории низкорентабельных, он вправе направить повторно заявление в уполномоченный орган в порядке, установленном настоящей главой.";</w:t>
      </w:r>
    </w:p>
    <w:bookmarkEnd w:id="27"/>
    <w:bookmarkStart w:name="z32"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"2. Критерии отнесения месторождения (группы месторождений, части месторождения) углеводородного сырья к категории низкорентабельных";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Месторождение (группа месторождений, часть месторождения) углеводородного сырья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w:t>
      </w:r>
    </w:p>
    <w:bookmarkStart w:name="z34" w:id="29"/>
    <w:p>
      <w:pPr>
        <w:spacing w:after="0"/>
        <w:ind w:left="0"/>
        <w:jc w:val="both"/>
      </w:pPr>
      <w:r>
        <w:rPr>
          <w:rFonts w:ascii="Times New Roman"/>
          <w:b w:val="false"/>
          <w:i w:val="false"/>
          <w:color w:val="000000"/>
          <w:sz w:val="28"/>
        </w:rPr>
        <w:t>
      Расчет планируемого уровня рентабельности по месторождению (группе месторождений, части месторождения) углеводородного сырья за календарный год производится на основании прогнозных данных недропользователя, включая цены на углеводородное сырье за соответствующий период, и на основании объемов добычи, подтвержденных уполномоченным органом.</w:t>
      </w:r>
    </w:p>
    <w:bookmarkEnd w:id="29"/>
    <w:bookmarkStart w:name="z35" w:id="30"/>
    <w:p>
      <w:pPr>
        <w:spacing w:after="0"/>
        <w:ind w:left="0"/>
        <w:jc w:val="both"/>
      </w:pPr>
      <w:r>
        <w:rPr>
          <w:rFonts w:ascii="Times New Roman"/>
          <w:b w:val="false"/>
          <w:i w:val="false"/>
          <w:color w:val="000000"/>
          <w:sz w:val="28"/>
        </w:rPr>
        <w:t>
      Планируемый уровень рентабельности по месторождению (группе месторождений, части месторождения) определяется по следующей формуле:</w:t>
      </w:r>
    </w:p>
    <w:bookmarkEnd w:id="30"/>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(У</w:t>
      </w:r>
      <w:r>
        <w:rPr>
          <w:rFonts w:ascii="Times New Roman"/>
          <w:b w:val="false"/>
          <w:i w:val="false"/>
          <w:color w:val="000000"/>
          <w:vertAlign w:val="subscript"/>
        </w:rPr>
        <w:t>К</w:t>
      </w:r>
      <w:r>
        <w:rPr>
          <w:rFonts w:ascii="Times New Roman"/>
          <w:b w:val="false"/>
          <w:i w:val="false"/>
          <w:color w:val="000000"/>
          <w:sz w:val="28"/>
        </w:rPr>
        <w:t>) Х 100</w:t>
      </w:r>
    </w:p>
    <w:p>
      <w:pPr>
        <w:spacing w:after="0"/>
        <w:ind w:left="0"/>
        <w:jc w:val="both"/>
      </w:pPr>
      <w:r>
        <w:rPr>
          <w:rFonts w:ascii="Times New Roman"/>
          <w:b w:val="false"/>
          <w:i w:val="false"/>
          <w:color w:val="000000"/>
          <w:sz w:val="28"/>
        </w:rPr>
        <w:t>
                             РП</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p>
    <w:bookmarkStart w:name="z36" w:id="31"/>
    <w:p>
      <w:pPr>
        <w:spacing w:after="0"/>
        <w:ind w:left="0"/>
        <w:jc w:val="both"/>
      </w:pPr>
      <w:r>
        <w:rPr>
          <w:rFonts w:ascii="Times New Roman"/>
          <w:b w:val="false"/>
          <w:i w:val="false"/>
          <w:color w:val="000000"/>
          <w:sz w:val="28"/>
        </w:rPr>
        <w:t>
      где:</w:t>
      </w:r>
    </w:p>
    <w:bookmarkEnd w:id="31"/>
    <w:bookmarkStart w:name="z37" w:id="32"/>
    <w:p>
      <w:pPr>
        <w:spacing w:after="0"/>
        <w:ind w:left="0"/>
        <w:jc w:val="both"/>
      </w:pPr>
      <w:r>
        <w:rPr>
          <w:rFonts w:ascii="Times New Roman"/>
          <w:b w:val="false"/>
          <w:i w:val="false"/>
          <w:color w:val="000000"/>
          <w:sz w:val="28"/>
        </w:rPr>
        <w:t>
      РП</w:t>
      </w:r>
      <w:r>
        <w:rPr>
          <w:rFonts w:ascii="Times New Roman"/>
          <w:b w:val="false"/>
          <w:i w:val="false"/>
          <w:color w:val="000000"/>
          <w:vertAlign w:val="subscript"/>
        </w:rPr>
        <w:t>к</w:t>
      </w:r>
      <w:r>
        <w:rPr>
          <w:rFonts w:ascii="Times New Roman"/>
          <w:b w:val="false"/>
          <w:i w:val="false"/>
          <w:color w:val="000000"/>
          <w:sz w:val="28"/>
        </w:rPr>
        <w:t xml:space="preserve"> – рентабельность продаж по месторождению (группе месторождений, части месторождения) углеводородного сырья в процентах;</w:t>
      </w:r>
    </w:p>
    <w:bookmarkEnd w:id="32"/>
    <w:bookmarkStart w:name="z38" w:id="33"/>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 чистый доход по месторождению (группе месторождений, части месторождения) углеводородного сырья, исчисленный в соответствии с настоящим пунктом и методикой ведения раздельного налогового учета недропользователя, утвержденной и представленной в налоговый орган в соответствии с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Республики Казахстан (далее – методика недропользователя);</w:t>
      </w:r>
    </w:p>
    <w:bookmarkEnd w:id="33"/>
    <w:bookmarkStart w:name="z39" w:id="34"/>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к</w:t>
      </w:r>
      <w:r>
        <w:rPr>
          <w:rFonts w:ascii="Times New Roman"/>
          <w:b w:val="false"/>
          <w:i w:val="false"/>
          <w:color w:val="000000"/>
          <w:sz w:val="28"/>
        </w:rPr>
        <w:t xml:space="preserve"> – сумма полученных и непогашенных убытков по месторождению (группе месторождений, части месторождения) углеводородного сырья, исчисленных в соответствии с </w:t>
      </w:r>
      <w:r>
        <w:rPr>
          <w:rFonts w:ascii="Times New Roman"/>
          <w:b w:val="false"/>
          <w:i w:val="false"/>
          <w:color w:val="000000"/>
          <w:sz w:val="28"/>
        </w:rPr>
        <w:t>главой 13</w:t>
      </w:r>
      <w:r>
        <w:rPr>
          <w:rFonts w:ascii="Times New Roman"/>
          <w:b w:val="false"/>
          <w:i w:val="false"/>
          <w:color w:val="000000"/>
          <w:sz w:val="28"/>
        </w:rPr>
        <w:t xml:space="preserve"> Налогового кодекса Республики Казахстан, возникших после 31 декабря 2008 года;</w:t>
      </w:r>
    </w:p>
    <w:bookmarkEnd w:id="34"/>
    <w:bookmarkStart w:name="z40" w:id="35"/>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углеводородного сырья, исчисленный в соответствии с методикой недропользователя.</w:t>
      </w:r>
    </w:p>
    <w:bookmarkEnd w:id="35"/>
    <w:bookmarkStart w:name="z41" w:id="36"/>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углеводородного сырья за налоговый период определяется недропользователем по следующей формуле:</w:t>
      </w:r>
    </w:p>
    <w:bookmarkEnd w:id="36"/>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 НД</w:t>
      </w:r>
      <w:r>
        <w:rPr>
          <w:rFonts w:ascii="Times New Roman"/>
          <w:b w:val="false"/>
          <w:i w:val="false"/>
          <w:color w:val="000000"/>
          <w:vertAlign w:val="subscript"/>
        </w:rPr>
        <w:t>к</w:t>
      </w:r>
      <w:r>
        <w:rPr>
          <w:rFonts w:ascii="Times New Roman"/>
          <w:b w:val="false"/>
          <w:i w:val="false"/>
          <w:color w:val="000000"/>
          <w:sz w:val="28"/>
        </w:rPr>
        <w:t xml:space="preserve"> – КПН</w:t>
      </w:r>
      <w:r>
        <w:rPr>
          <w:rFonts w:ascii="Times New Roman"/>
          <w:b w:val="false"/>
          <w:i w:val="false"/>
          <w:color w:val="000000"/>
          <w:vertAlign w:val="subscript"/>
        </w:rPr>
        <w:t>к</w:t>
      </w:r>
      <w:r>
        <w:rPr>
          <w:rFonts w:ascii="Times New Roman"/>
          <w:b w:val="false"/>
          <w:i w:val="false"/>
          <w:color w:val="000000"/>
          <w:sz w:val="28"/>
        </w:rPr>
        <w:t>,</w:t>
      </w:r>
    </w:p>
    <w:bookmarkStart w:name="z42" w:id="37"/>
    <w:p>
      <w:pPr>
        <w:spacing w:after="0"/>
        <w:ind w:left="0"/>
        <w:jc w:val="both"/>
      </w:pPr>
      <w:r>
        <w:rPr>
          <w:rFonts w:ascii="Times New Roman"/>
          <w:b w:val="false"/>
          <w:i w:val="false"/>
          <w:color w:val="000000"/>
          <w:sz w:val="28"/>
        </w:rPr>
        <w:t>
      где:</w:t>
      </w:r>
    </w:p>
    <w:bookmarkEnd w:id="37"/>
    <w:bookmarkStart w:name="z43" w:id="38"/>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к</w:t>
      </w:r>
      <w:r>
        <w:rPr>
          <w:rFonts w:ascii="Times New Roman"/>
          <w:b w:val="false"/>
          <w:i w:val="false"/>
          <w:color w:val="000000"/>
          <w:sz w:val="28"/>
        </w:rPr>
        <w:t xml:space="preserve"> – корпоративный подоходный налог по месторождению (группе месторождений, части месторождения) углеводородного сырья, исчисленный в соответствии с методикой недропользователя;</w:t>
      </w:r>
    </w:p>
    <w:bookmarkEnd w:id="38"/>
    <w:bookmarkStart w:name="z44" w:id="39"/>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к</w:t>
      </w:r>
      <w:r>
        <w:rPr>
          <w:rFonts w:ascii="Times New Roman"/>
          <w:b w:val="false"/>
          <w:i w:val="false"/>
          <w:color w:val="000000"/>
          <w:sz w:val="28"/>
        </w:rPr>
        <w:t xml:space="preserve"> – налогооблагаемый доход по месторождению (группе месторождений, части месторождения) углеводородного сырья, исчисленный в соответствии с методикой недропользователя, уменьшенный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Республики Казахстан.</w:t>
      </w:r>
    </w:p>
    <w:bookmarkEnd w:id="39"/>
    <w:bookmarkStart w:name="z45" w:id="40"/>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углеводородного сырья в текущем незавершенном (предстоящем) календарном году более чем на 10 % от уровня предыдущего (текущего) календарного года, сумма вычетов для целей определения уровня рентабельности по месторождению (группе месторождений, части месторождения) углеводородного сырья может быть скорректирована пропорционально изменению объемов добычи.</w:t>
      </w:r>
    </w:p>
    <w:bookmarkEnd w:id="40"/>
    <w:bookmarkStart w:name="z46" w:id="41"/>
    <w:p>
      <w:pPr>
        <w:spacing w:after="0"/>
        <w:ind w:left="0"/>
        <w:jc w:val="both"/>
      </w:pPr>
      <w:r>
        <w:rPr>
          <w:rFonts w:ascii="Times New Roman"/>
          <w:b w:val="false"/>
          <w:i w:val="false"/>
          <w:color w:val="000000"/>
          <w:sz w:val="28"/>
        </w:rPr>
        <w:t>
      12. Ставки налога на добычу полезных ископаемых для месторождения (группы месторождений, части месторождения) углеводородного сырья, отнесенного к категории низкорентабельных, устанавливаются с целью достижения уровня рентабельности по контракту 0 % по шкале мировых цен за баррель нефти с шагом в 1 доллар США.</w:t>
      </w:r>
    </w:p>
    <w:bookmarkEnd w:id="41"/>
    <w:bookmarkStart w:name="z47" w:id="42"/>
    <w:p>
      <w:pPr>
        <w:spacing w:after="0"/>
        <w:ind w:left="0"/>
        <w:jc w:val="both"/>
      </w:pPr>
      <w:r>
        <w:rPr>
          <w:rFonts w:ascii="Times New Roman"/>
          <w:b w:val="false"/>
          <w:i w:val="false"/>
          <w:color w:val="000000"/>
          <w:sz w:val="28"/>
        </w:rPr>
        <w:t>
      Минимальная ставка налога на добычу полезных ископаемых по месторождению (группы месторождений, части месторождения) углеводородного сырья, отнесенному к категории низкорентабельных, устанавливается в размере 5 % от общеустановленной ставки налога на добычу полезных ископаемых, действующей в соответствующем налоговом периоде. При этом ставки налога на добычу полезных ископаемых, устанавливаемые для месторождения (группы месторождений, части месторождения), отнесенного к категории низкорентабельных в соответствии с настоящими Правилами не должны превышать общеустановленных ставок налога на добычу полезных ископаемых, действующих в соответствующем налоговом периоде.</w:t>
      </w:r>
    </w:p>
    <w:bookmarkEnd w:id="42"/>
    <w:bookmarkStart w:name="z48" w:id="43"/>
    <w:p>
      <w:pPr>
        <w:spacing w:after="0"/>
        <w:ind w:left="0"/>
        <w:jc w:val="both"/>
      </w:pPr>
      <w:r>
        <w:rPr>
          <w:rFonts w:ascii="Times New Roman"/>
          <w:b w:val="false"/>
          <w:i w:val="false"/>
          <w:color w:val="000000"/>
          <w:sz w:val="28"/>
        </w:rPr>
        <w:t>
      В случае, если ставки налога на добычу полезных ископаемых для месторождения (группы месторождений, части месторождения) углеводородного сырья, отнесенного к категории низкорентабельных, на соответствующий календарный год устанавливаются в течение указанного года, то налог на добычу полезных ископаемых, уплаченный с начала календарного года, пересчитывается по ставкам, установленным в соответствии с настоящей главой, исходя из фактически сложившихся цен за истекшие налоговые периоды.</w:t>
      </w:r>
    </w:p>
    <w:bookmarkEnd w:id="43"/>
    <w:bookmarkStart w:name="z49" w:id="44"/>
    <w:p>
      <w:pPr>
        <w:spacing w:after="0"/>
        <w:ind w:left="0"/>
        <w:jc w:val="both"/>
      </w:pPr>
      <w:r>
        <w:rPr>
          <w:rFonts w:ascii="Times New Roman"/>
          <w:b w:val="false"/>
          <w:i w:val="false"/>
          <w:color w:val="000000"/>
          <w:sz w:val="28"/>
        </w:rPr>
        <w:t xml:space="preserve">
      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w:t>
      </w:r>
      <w:r>
        <w:rPr>
          <w:rFonts w:ascii="Times New Roman"/>
          <w:b w:val="false"/>
          <w:i w:val="false"/>
          <w:color w:val="000000"/>
          <w:sz w:val="28"/>
        </w:rPr>
        <w:t>статьей 334</w:t>
      </w:r>
      <w:r>
        <w:rPr>
          <w:rFonts w:ascii="Times New Roman"/>
          <w:b w:val="false"/>
          <w:i w:val="false"/>
          <w:color w:val="000000"/>
          <w:sz w:val="28"/>
        </w:rPr>
        <w:t xml:space="preserve"> Налогового кодекса Республики Казахстан.</w:t>
      </w:r>
    </w:p>
    <w:bookmarkEnd w:id="44"/>
    <w:bookmarkStart w:name="z50" w:id="45"/>
    <w:p>
      <w:pPr>
        <w:spacing w:after="0"/>
        <w:ind w:left="0"/>
        <w:jc w:val="both"/>
      </w:pPr>
      <w:r>
        <w:rPr>
          <w:rFonts w:ascii="Times New Roman"/>
          <w:b w:val="false"/>
          <w:i w:val="false"/>
          <w:color w:val="000000"/>
          <w:sz w:val="28"/>
        </w:rPr>
        <w:t>
      13. Налогоплательщик в срок не позднее 20-го февраля года, следующего за календарным годом, в котором им применялись ставки налога на добычу полезных ископаемых, установленные в соответствии с пунктом 12 настоящих Правил, производит расчет показателей рентабельности за истекший год на основе фактических данных с применением данных ставок налога на добычу полезных ископаемых.</w:t>
      </w:r>
    </w:p>
    <w:bookmarkEnd w:id="45"/>
    <w:bookmarkStart w:name="z51" w:id="46"/>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налогу на добычу полезных ископаемых по ставке, рассчитываемой по следующей формуле:</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где:</w:t>
      </w:r>
    </w:p>
    <w:bookmarkEnd w:id="47"/>
    <w:bookmarkStart w:name="z53" w:id="48"/>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к</w:t>
      </w:r>
      <w:r>
        <w:rPr>
          <w:rFonts w:ascii="Times New Roman"/>
          <w:b w:val="false"/>
          <w:i w:val="false"/>
          <w:color w:val="000000"/>
          <w:sz w:val="28"/>
        </w:rPr>
        <w:t xml:space="preserve"> - ставка НДПИ по месторождению (группе месторождений, части месторождения) углеводородного сырья в процентах;</w:t>
      </w:r>
    </w:p>
    <w:bookmarkEnd w:id="48"/>
    <w:bookmarkStart w:name="z54" w:id="49"/>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углеводородного сырья, исчисленный в соответствии с методикой недропользователя;</w:t>
      </w:r>
    </w:p>
    <w:bookmarkEnd w:id="49"/>
    <w:bookmarkStart w:name="z55" w:id="5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 xml:space="preserve"> - вычеты по месторождению (группе месторождений, части месторождения) углеводородного сырья, не включая НДПИ, исчисленные в соответствии с методикой недропользователя;</w:t>
      </w:r>
    </w:p>
    <w:bookmarkEnd w:id="50"/>
    <w:bookmarkStart w:name="z56" w:id="51"/>
    <w:p>
      <w:pPr>
        <w:spacing w:after="0"/>
        <w:ind w:left="0"/>
        <w:jc w:val="both"/>
      </w:pPr>
      <w:r>
        <w:rPr>
          <w:rFonts w:ascii="Times New Roman"/>
          <w:b w:val="false"/>
          <w:i w:val="false"/>
          <w:color w:val="000000"/>
          <w:sz w:val="28"/>
        </w:rPr>
        <w:t>
      НБ</w:t>
      </w:r>
      <w:r>
        <w:rPr>
          <w:rFonts w:ascii="Times New Roman"/>
          <w:b w:val="false"/>
          <w:i w:val="false"/>
          <w:color w:val="000000"/>
          <w:vertAlign w:val="subscript"/>
        </w:rPr>
        <w:t>к</w:t>
      </w:r>
      <w:r>
        <w:rPr>
          <w:rFonts w:ascii="Times New Roman"/>
          <w:b w:val="false"/>
          <w:i w:val="false"/>
          <w:color w:val="000000"/>
          <w:sz w:val="28"/>
        </w:rPr>
        <w:t xml:space="preserve"> - налоговая база НДПИ по месторождению (группе месторождений, части месторождения) углеводородного сырья, исчисленная в соответствии с методикой недропользователя.</w:t>
      </w:r>
    </w:p>
    <w:bookmarkEnd w:id="51"/>
    <w:bookmarkStart w:name="z57" w:id="52"/>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12 настоящих Правил.</w:t>
      </w:r>
    </w:p>
    <w:bookmarkEnd w:id="52"/>
    <w:bookmarkStart w:name="z58" w:id="53"/>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установленной в соответствии с пунктом 12 настоящих Правил, соответствующая сумма превышения отражается в дополнительной декларации по налогу на добычу полезных ископаемых. Сумма налога на добычу полезных ископаемых, указанная в данной декларации, является налоговым обязательством 4-го квартала истекшего календарного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11 настоящих Правил,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bookmarkEnd w:id="53"/>
    <w:bookmarkStart w:name="z59"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bookmarkEnd w:id="54"/>
    <w:bookmarkStart w:name="z60" w:id="55"/>
    <w:p>
      <w:pPr>
        <w:spacing w:after="0"/>
        <w:ind w:left="0"/>
        <w:jc w:val="both"/>
      </w:pPr>
      <w:r>
        <w:rPr>
          <w:rFonts w:ascii="Times New Roman"/>
          <w:b w:val="false"/>
          <w:i w:val="false"/>
          <w:color w:val="000000"/>
          <w:sz w:val="28"/>
        </w:rPr>
        <w:t>
      заголовок изложить в следующей редакции:</w:t>
      </w:r>
    </w:p>
    <w:bookmarkEnd w:id="55"/>
    <w:p>
      <w:pPr>
        <w:spacing w:after="0"/>
        <w:ind w:left="0"/>
        <w:jc w:val="both"/>
      </w:pPr>
      <w:r>
        <w:rPr>
          <w:rFonts w:ascii="Times New Roman"/>
          <w:b w:val="false"/>
          <w:i w:val="false"/>
          <w:color w:val="000000"/>
          <w:sz w:val="28"/>
        </w:rPr>
        <w:t>
      "Порядок отнесения месторождения (группы месторождений, части месторождения) углеводородного сырья к категории высоковязких, обводненных, малодебитных и выработанных и порядок налогообложения в части налога на добычу полезных ископаемых";</w:t>
      </w:r>
    </w:p>
    <w:bookmarkStart w:name="z61" w:id="5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xml:space="preserve">
      "В случае включения месторождения (группы месторождений, части месторождения) в перечень высоковязких, обводненных, малодебитных или выработанных месторождений налог на добычу полезных ископаемых, уплаченный с начала календарного года, в котором было принято соответствующее решение Правительства Республики Казахстан, пересчитывается по ставкам, согласно приложению 2 к настоящим Правилам, исходя из фактически сложившихся цен за истекшие налоговые периоды, определяемых в порядке, установленном </w:t>
      </w:r>
      <w:r>
        <w:rPr>
          <w:rFonts w:ascii="Times New Roman"/>
          <w:b w:val="false"/>
          <w:i w:val="false"/>
          <w:color w:val="000000"/>
          <w:sz w:val="28"/>
        </w:rPr>
        <w:t>статьей 334</w:t>
      </w:r>
      <w:r>
        <w:rPr>
          <w:rFonts w:ascii="Times New Roman"/>
          <w:b w:val="false"/>
          <w:i w:val="false"/>
          <w:color w:val="000000"/>
          <w:sz w:val="28"/>
        </w:rPr>
        <w:t xml:space="preserve"> Налогового кодекса, путем подачи дополнительных деклараций.";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Налогоплательщик, применявший ставки налога на добычу полезных ископаемых в соответствии с частью второй пункта 20 настоящих Правил, в срок не позднее 20-го февраля года, следующего за истекшим календарным годом, в котором применялись данные ставки налога на добычу полезных ископаемых, производит расчет фактической рентабельности по месторождению (группе месторождений, части месторождения) за истекший год на основе фактических данных по формуле, указанной в части третьей пункта 11 настоящих Правил, на основе показателей по месторождению (группе месторождений, части месторождения) с применением ставок налога на добычу полезных ископаемых согласно приложению 2 к настоящим Правилам.</w:t>
      </w:r>
    </w:p>
    <w:bookmarkStart w:name="z63" w:id="57"/>
    <w:p>
      <w:pPr>
        <w:spacing w:after="0"/>
        <w:ind w:left="0"/>
        <w:jc w:val="both"/>
      </w:pPr>
      <w:r>
        <w:rPr>
          <w:rFonts w:ascii="Times New Roman"/>
          <w:b w:val="false"/>
          <w:i w:val="false"/>
          <w:color w:val="000000"/>
          <w:sz w:val="28"/>
        </w:rPr>
        <w:t xml:space="preserve">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20 %, но не более 25 %, недропользователь производит перерасчет налоговых обязательств по налогу на добычу полезных ископаемых по ставке, согласно приложению 2 к настоящим Правилам, увеличенной на 5 % от базовой ставки НДПИ, установленной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на соответствующий год.</w:t>
      </w:r>
    </w:p>
    <w:bookmarkEnd w:id="57"/>
    <w:bookmarkStart w:name="z64" w:id="58"/>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пункта 11 настоящих Правил, превысит значение 25 %, недропользователь производит перерасчет налоговых обязательств по налогу на добычу полезных ископаемых по ставке, рассчитываемой по следующей формуле:</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73500" cy="59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где:</w:t>
      </w:r>
    </w:p>
    <w:bookmarkEnd w:id="59"/>
    <w:bookmarkStart w:name="z66" w:id="60"/>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м</w:t>
      </w:r>
      <w:r>
        <w:rPr>
          <w:rFonts w:ascii="Times New Roman"/>
          <w:b w:val="false"/>
          <w:i w:val="false"/>
          <w:color w:val="000000"/>
          <w:sz w:val="28"/>
        </w:rPr>
        <w:t xml:space="preserve"> - ставка НДПИ по месторождению (группе месторождений, части месторождения) в процентах;</w:t>
      </w:r>
    </w:p>
    <w:bookmarkEnd w:id="60"/>
    <w:bookmarkStart w:name="z67" w:id="61"/>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исчисленный в соответствии с методикой недропользователя;</w:t>
      </w:r>
    </w:p>
    <w:bookmarkEnd w:id="61"/>
    <w:bookmarkStart w:name="z68" w:id="6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sz w:val="28"/>
        </w:rPr>
        <w:t xml:space="preserve"> - вычеты по месторождению (группе месторождений, части месторождения), не включая налог на добычу полезных ископаемых, исчисленные в соответствии с методикой недропользователя;</w:t>
      </w:r>
    </w:p>
    <w:bookmarkEnd w:id="62"/>
    <w:p>
      <w:pPr>
        <w:spacing w:after="0"/>
        <w:ind w:left="0"/>
        <w:jc w:val="both"/>
      </w:pPr>
      <w:r>
        <w:rPr>
          <w:rFonts w:ascii="Times New Roman"/>
          <w:b w:val="false"/>
          <w:i w:val="false"/>
          <w:color w:val="000000"/>
          <w:sz w:val="28"/>
        </w:rPr>
        <w:t>
      НБ</w:t>
      </w:r>
      <w:r>
        <w:rPr>
          <w:rFonts w:ascii="Times New Roman"/>
          <w:b w:val="false"/>
          <w:i w:val="false"/>
          <w:color w:val="000000"/>
          <w:vertAlign w:val="subscript"/>
        </w:rPr>
        <w:t>м</w:t>
      </w:r>
      <w:r>
        <w:rPr>
          <w:rFonts w:ascii="Times New Roman"/>
          <w:b w:val="false"/>
          <w:i w:val="false"/>
          <w:color w:val="000000"/>
          <w:sz w:val="28"/>
        </w:rPr>
        <w:t xml:space="preserve"> - налоговая база НДПИ по месторождению (группе месторождений, части месторождения), исчисленная в соответствии с методикой недропользователя;</w:t>
      </w:r>
    </w:p>
    <w:bookmarkStart w:name="z69" w:id="63"/>
    <w:p>
      <w:pPr>
        <w:spacing w:after="0"/>
        <w:ind w:left="0"/>
        <w:jc w:val="both"/>
      </w:pPr>
      <w:r>
        <w:rPr>
          <w:rFonts w:ascii="Times New Roman"/>
          <w:b w:val="false"/>
          <w:i w:val="false"/>
          <w:color w:val="000000"/>
          <w:sz w:val="28"/>
        </w:rPr>
        <w:t>
      К - значение ставки корпоративного подоходного налога, установленной налоговым законодательством на соответствующий налоговый период, переведенное в десятичную дробь путем деления ставки в процентах на 100.</w:t>
      </w:r>
    </w:p>
    <w:bookmarkEnd w:id="63"/>
    <w:bookmarkStart w:name="z70" w:id="64"/>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12 настоящих Правил.</w:t>
      </w:r>
    </w:p>
    <w:bookmarkEnd w:id="64"/>
    <w:bookmarkStart w:name="z71" w:id="65"/>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согласно приложению 2 к настоящим Правилам, соответствующая сумма превышения отражается в дополнительной декларации по налогу на добычу полезных ископаемых. Сумма налога на добычу полезных ископаемых,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11 настоящих Правил, производится перерасчет налоговых обязательств в соответствии с настоящим пунктом.";</w:t>
      </w:r>
    </w:p>
    <w:bookmarkEnd w:id="65"/>
    <w:bookmarkStart w:name="z72"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приложении</w:t>
      </w:r>
      <w:r>
        <w:rPr>
          <w:rFonts w:ascii="Times New Roman"/>
          <w:b w:val="false"/>
          <w:i w:val="false"/>
          <w:color w:val="000000"/>
          <w:sz w:val="28"/>
        </w:rPr>
        <w:t xml:space="preserve"> к Правилам:</w:t>
      </w:r>
    </w:p>
    <w:bookmarkEnd w:id="66"/>
    <w:bookmarkStart w:name="z73" w:id="67"/>
    <w:p>
      <w:pPr>
        <w:spacing w:after="0"/>
        <w:ind w:left="0"/>
        <w:jc w:val="both"/>
      </w:pPr>
      <w:r>
        <w:rPr>
          <w:rFonts w:ascii="Times New Roman"/>
          <w:b w:val="false"/>
          <w:i w:val="false"/>
          <w:color w:val="000000"/>
          <w:sz w:val="28"/>
        </w:rPr>
        <w:t>
      слова "Приложение к Правилам отнесения контракта на недропользование, предусматривающего разработку месторождения углеводородного сырья, к категории низкорентабельных, а также месторождения (группы месторождений, части месторождений) углеводородного сырья к категории высоковязких, обводненных, малодебитных или выработанных" заменить словами "Приложение 1 к Правилам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порядку налогообложения в части налога на добычу полезных ископаемых";</w:t>
      </w:r>
    </w:p>
    <w:bookmarkEnd w:id="67"/>
    <w:bookmarkStart w:name="z74" w:id="68"/>
    <w:p>
      <w:pPr>
        <w:spacing w:after="0"/>
        <w:ind w:left="0"/>
        <w:jc w:val="both"/>
      </w:pPr>
      <w:r>
        <w:rPr>
          <w:rFonts w:ascii="Times New Roman"/>
          <w:b w:val="false"/>
          <w:i w:val="false"/>
          <w:color w:val="000000"/>
          <w:sz w:val="28"/>
        </w:rPr>
        <w:t>
      6) заголовок заявления изложить в следующей редакции:</w:t>
      </w:r>
    </w:p>
    <w:bookmarkEnd w:id="68"/>
    <w:p>
      <w:pPr>
        <w:spacing w:after="0"/>
        <w:ind w:left="0"/>
        <w:jc w:val="both"/>
      </w:pPr>
      <w:r>
        <w:rPr>
          <w:rFonts w:ascii="Times New Roman"/>
          <w:b w:val="false"/>
          <w:i w:val="false"/>
          <w:color w:val="000000"/>
          <w:sz w:val="28"/>
        </w:rPr>
        <w:t>
      "Заявление об отнесении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w:t>
      </w:r>
    </w:p>
    <w:bookmarkStart w:name="z75" w:id="69"/>
    <w:p>
      <w:pPr>
        <w:spacing w:after="0"/>
        <w:ind w:left="0"/>
        <w:jc w:val="both"/>
      </w:pPr>
      <w:r>
        <w:rPr>
          <w:rFonts w:ascii="Times New Roman"/>
          <w:b w:val="false"/>
          <w:i w:val="false"/>
          <w:color w:val="000000"/>
          <w:sz w:val="28"/>
        </w:rPr>
        <w:t>
      7) в Ставках налога 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углеводородного сырья, утвержденных указанным постановлением:</w:t>
      </w:r>
    </w:p>
    <w:bookmarkEnd w:id="69"/>
    <w:bookmarkStart w:name="z76" w:id="70"/>
    <w:p>
      <w:pPr>
        <w:spacing w:after="0"/>
        <w:ind w:left="0"/>
        <w:jc w:val="both"/>
      </w:pPr>
      <w:r>
        <w:rPr>
          <w:rFonts w:ascii="Times New Roman"/>
          <w:b w:val="false"/>
          <w:i w:val="false"/>
          <w:color w:val="000000"/>
          <w:sz w:val="28"/>
        </w:rPr>
        <w:t>
      в правом верхнем углу слова "Утверждены постановлением Правительства Республики Казахстан от 31 декабря 2010 года № 1528" заменить словами "Приложение 2 к Правилам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порядку налогообложения в части налога на добычу полезных ископаемых".</w:t>
      </w:r>
    </w:p>
    <w:bookmarkEnd w:id="70"/>
    <w:bookmarkStart w:name="z77" w:id="71"/>
    <w:p>
      <w:pPr>
        <w:spacing w:after="0"/>
        <w:ind w:left="0"/>
        <w:jc w:val="both"/>
      </w:pP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отнесения месторождения</w:t>
            </w:r>
            <w:r>
              <w:br/>
            </w:r>
            <w:r>
              <w:rPr>
                <w:rFonts w:ascii="Times New Roman"/>
                <w:b w:val="false"/>
                <w:i w:val="false"/>
                <w:color w:val="000000"/>
                <w:sz w:val="20"/>
              </w:rPr>
              <w:t xml:space="preserve">(группы месторождений, части месторождения) </w:t>
            </w:r>
            <w:r>
              <w:br/>
            </w:r>
            <w:r>
              <w:rPr>
                <w:rFonts w:ascii="Times New Roman"/>
                <w:b w:val="false"/>
                <w:i w:val="false"/>
                <w:color w:val="000000"/>
                <w:sz w:val="20"/>
              </w:rPr>
              <w:t>углеводородного сырья к категории</w:t>
            </w:r>
            <w:r>
              <w:br/>
            </w:r>
            <w:r>
              <w:rPr>
                <w:rFonts w:ascii="Times New Roman"/>
                <w:b w:val="false"/>
                <w:i w:val="false"/>
                <w:color w:val="000000"/>
                <w:sz w:val="20"/>
              </w:rPr>
              <w:t>низкорентабельных, высоковязких, обводненных,</w:t>
            </w:r>
            <w:r>
              <w:br/>
            </w:r>
            <w:r>
              <w:rPr>
                <w:rFonts w:ascii="Times New Roman"/>
                <w:b w:val="false"/>
                <w:i w:val="false"/>
                <w:color w:val="000000"/>
                <w:sz w:val="20"/>
              </w:rPr>
              <w:t>малодебитных и выработанных и порядку</w:t>
            </w:r>
            <w:r>
              <w:br/>
            </w:r>
            <w:r>
              <w:rPr>
                <w:rFonts w:ascii="Times New Roman"/>
                <w:b w:val="false"/>
                <w:i w:val="false"/>
                <w:color w:val="000000"/>
                <w:sz w:val="20"/>
              </w:rPr>
              <w:t>налогообложения в части налога на</w:t>
            </w:r>
            <w:r>
              <w:br/>
            </w:r>
            <w:r>
              <w:rPr>
                <w:rFonts w:ascii="Times New Roman"/>
                <w:b w:val="false"/>
                <w:i w:val="false"/>
                <w:color w:val="000000"/>
                <w:sz w:val="20"/>
              </w:rPr>
              <w:t>добычу полезных ископаемых</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об отнесении месторождения (группы месторождений, части месторождения) к категории низкорентабельных, высоковязких, обводненных, малодебитных и выработанных</w:t>
      </w:r>
    </w:p>
    <w:p>
      <w:pPr>
        <w:spacing w:after="0"/>
        <w:ind w:left="0"/>
        <w:jc w:val="both"/>
      </w:pPr>
      <w:r>
        <w:rPr>
          <w:rFonts w:ascii="Times New Roman"/>
          <w:b w:val="false"/>
          <w:i w:val="false"/>
          <w:color w:val="000000"/>
          <w:sz w:val="28"/>
        </w:rPr>
        <w:t>
      1. Полное наименование недропользователя (юридического либо физического лица)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Местонахождение (почтовый адрес) _________________________________________________________.</w:t>
      </w:r>
    </w:p>
    <w:p>
      <w:pPr>
        <w:spacing w:after="0"/>
        <w:ind w:left="0"/>
        <w:jc w:val="both"/>
      </w:pPr>
      <w:r>
        <w:rPr>
          <w:rFonts w:ascii="Times New Roman"/>
          <w:b w:val="false"/>
          <w:i w:val="false"/>
          <w:color w:val="000000"/>
          <w:sz w:val="28"/>
        </w:rPr>
        <w:t>
      3. Регистрационный номер налогоплательщика _________________________________________________________.</w:t>
      </w:r>
    </w:p>
    <w:p>
      <w:pPr>
        <w:spacing w:after="0"/>
        <w:ind w:left="0"/>
        <w:jc w:val="both"/>
      </w:pPr>
      <w:r>
        <w:rPr>
          <w:rFonts w:ascii="Times New Roman"/>
          <w:b w:val="false"/>
          <w:i w:val="false"/>
          <w:color w:val="000000"/>
          <w:sz w:val="28"/>
        </w:rPr>
        <w:t>
      4. Контракт на недропользование, в рамках которого осуществляется добыча углеводородного сырья и предполагается применение порядка отнесения контракта, (месторождения, группы месторождений, части месторождения) к категории низкорентабельных, высоковязких, обводненных, малодебитных или выработанных:</w:t>
      </w:r>
    </w:p>
    <w:p>
      <w:pPr>
        <w:spacing w:after="0"/>
        <w:ind w:left="0"/>
        <w:jc w:val="both"/>
      </w:pPr>
      <w:r>
        <w:rPr>
          <w:rFonts w:ascii="Times New Roman"/>
          <w:b w:val="false"/>
          <w:i w:val="false"/>
          <w:color w:val="000000"/>
          <w:sz w:val="28"/>
        </w:rPr>
        <w:t>
            4.1. Полное наименование контракта, стороны контракта, дата заключения контракта _________________________________________________________;</w:t>
      </w:r>
    </w:p>
    <w:p>
      <w:pPr>
        <w:spacing w:after="0"/>
        <w:ind w:left="0"/>
        <w:jc w:val="both"/>
      </w:pPr>
      <w:r>
        <w:rPr>
          <w:rFonts w:ascii="Times New Roman"/>
          <w:b w:val="false"/>
          <w:i w:val="false"/>
          <w:color w:val="000000"/>
          <w:sz w:val="28"/>
        </w:rPr>
        <w:t>
            4.2. Дата и номер регистрации контракта в компетентном органе: _________________________________________________________;</w:t>
      </w:r>
    </w:p>
    <w:p>
      <w:pPr>
        <w:spacing w:after="0"/>
        <w:ind w:left="0"/>
        <w:jc w:val="both"/>
      </w:pPr>
      <w:r>
        <w:rPr>
          <w:rFonts w:ascii="Times New Roman"/>
          <w:b w:val="false"/>
          <w:i w:val="false"/>
          <w:color w:val="000000"/>
          <w:sz w:val="28"/>
        </w:rPr>
        <w:t>
            4.3. Наименование контракта (месторождения, группы месторождений, части месторождения): _________________________________________________________;</w:t>
      </w:r>
    </w:p>
    <w:p>
      <w:pPr>
        <w:spacing w:after="0"/>
        <w:ind w:left="0"/>
        <w:jc w:val="both"/>
      </w:pPr>
      <w:r>
        <w:rPr>
          <w:rFonts w:ascii="Times New Roman"/>
          <w:b w:val="false"/>
          <w:i w:val="false"/>
          <w:color w:val="000000"/>
          <w:sz w:val="28"/>
        </w:rPr>
        <w:t>
            4.4. Расположение контрактной территории (месторождения, группы месторождений, части месторождения) _________________________________________________________;</w:t>
      </w:r>
    </w:p>
    <w:p>
      <w:pPr>
        <w:spacing w:after="0"/>
        <w:ind w:left="0"/>
        <w:jc w:val="both"/>
      </w:pPr>
      <w:r>
        <w:rPr>
          <w:rFonts w:ascii="Times New Roman"/>
          <w:b w:val="false"/>
          <w:i w:val="false"/>
          <w:color w:val="000000"/>
          <w:sz w:val="28"/>
        </w:rPr>
        <w:t>
      4.5. Вид добываемого полезного ископаемого _________________________________________________________.</w:t>
      </w:r>
    </w:p>
    <w:p>
      <w:pPr>
        <w:spacing w:after="0"/>
        <w:ind w:left="0"/>
        <w:jc w:val="both"/>
      </w:pPr>
      <w:r>
        <w:rPr>
          <w:rFonts w:ascii="Times New Roman"/>
          <w:b w:val="false"/>
          <w:i w:val="false"/>
          <w:color w:val="000000"/>
          <w:sz w:val="28"/>
        </w:rPr>
        <w:t>
      5. Основание для подачи заявления (в выбранных строках проставить знак "X"):</w:t>
      </w:r>
    </w:p>
    <w:p>
      <w:pPr>
        <w:spacing w:after="0"/>
        <w:ind w:left="0"/>
        <w:jc w:val="both"/>
      </w:pPr>
      <w:r>
        <w:rPr>
          <w:rFonts w:ascii="Times New Roman"/>
          <w:b w:val="false"/>
          <w:i w:val="false"/>
          <w:color w:val="000000"/>
          <w:sz w:val="28"/>
        </w:rPr>
        <w:t>
      низкая рентабельность</w:t>
      </w:r>
    </w:p>
    <w:p>
      <w:pPr>
        <w:spacing w:after="0"/>
        <w:ind w:left="0"/>
        <w:jc w:val="both"/>
      </w:pPr>
      <w:r>
        <w:rPr>
          <w:rFonts w:ascii="Times New Roman"/>
          <w:b w:val="false"/>
          <w:i w:val="false"/>
          <w:color w:val="000000"/>
          <w:sz w:val="28"/>
        </w:rPr>
        <w:t>
      высокая вязкость</w:t>
      </w:r>
    </w:p>
    <w:p>
      <w:pPr>
        <w:spacing w:after="0"/>
        <w:ind w:left="0"/>
        <w:jc w:val="both"/>
      </w:pPr>
      <w:r>
        <w:rPr>
          <w:rFonts w:ascii="Times New Roman"/>
          <w:b w:val="false"/>
          <w:i w:val="false"/>
          <w:color w:val="000000"/>
          <w:sz w:val="28"/>
        </w:rPr>
        <w:t>
      обводненность</w:t>
      </w:r>
    </w:p>
    <w:p>
      <w:pPr>
        <w:spacing w:after="0"/>
        <w:ind w:left="0"/>
        <w:jc w:val="both"/>
      </w:pPr>
      <w:r>
        <w:rPr>
          <w:rFonts w:ascii="Times New Roman"/>
          <w:b w:val="false"/>
          <w:i w:val="false"/>
          <w:color w:val="000000"/>
          <w:sz w:val="28"/>
        </w:rPr>
        <w:t>
      малый дебит</w:t>
      </w:r>
    </w:p>
    <w:p>
      <w:pPr>
        <w:spacing w:after="0"/>
        <w:ind w:left="0"/>
        <w:jc w:val="both"/>
      </w:pPr>
      <w:r>
        <w:rPr>
          <w:rFonts w:ascii="Times New Roman"/>
          <w:b w:val="false"/>
          <w:i w:val="false"/>
          <w:color w:val="000000"/>
          <w:sz w:val="28"/>
        </w:rPr>
        <w:t>
      выработанность</w:t>
      </w:r>
    </w:p>
    <w:p>
      <w:pPr>
        <w:spacing w:after="0"/>
        <w:ind w:left="0"/>
        <w:jc w:val="both"/>
      </w:pPr>
      <w:r>
        <w:rPr>
          <w:rFonts w:ascii="Times New Roman"/>
          <w:b w:val="false"/>
          <w:i w:val="false"/>
          <w:color w:val="000000"/>
          <w:sz w:val="28"/>
        </w:rPr>
        <w:t>
      6. Контактное лицо (Ф.И.О., должность, телефон) _________________________________________________________.</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Ф.И.О. руководителя, должность 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Дата подачи заявки "___" ________ 20 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отнесения месторождения</w:t>
            </w:r>
            <w:r>
              <w:br/>
            </w:r>
            <w:r>
              <w:rPr>
                <w:rFonts w:ascii="Times New Roman"/>
                <w:b w:val="false"/>
                <w:i w:val="false"/>
                <w:color w:val="000000"/>
                <w:sz w:val="20"/>
              </w:rPr>
              <w:t xml:space="preserve">(группы месторождений, части месторождения) </w:t>
            </w:r>
            <w:r>
              <w:br/>
            </w:r>
            <w:r>
              <w:rPr>
                <w:rFonts w:ascii="Times New Roman"/>
                <w:b w:val="false"/>
                <w:i w:val="false"/>
                <w:color w:val="000000"/>
                <w:sz w:val="20"/>
              </w:rPr>
              <w:t>углеводородного сырья к категории</w:t>
            </w:r>
            <w:r>
              <w:br/>
            </w:r>
            <w:r>
              <w:rPr>
                <w:rFonts w:ascii="Times New Roman"/>
                <w:b w:val="false"/>
                <w:i w:val="false"/>
                <w:color w:val="000000"/>
                <w:sz w:val="20"/>
              </w:rPr>
              <w:t>низкорентабельных, высоковязких, обводненных,</w:t>
            </w:r>
            <w:r>
              <w:br/>
            </w:r>
            <w:r>
              <w:rPr>
                <w:rFonts w:ascii="Times New Roman"/>
                <w:b w:val="false"/>
                <w:i w:val="false"/>
                <w:color w:val="000000"/>
                <w:sz w:val="20"/>
              </w:rPr>
              <w:t>малодебитных и выработанных и порядку</w:t>
            </w:r>
            <w:r>
              <w:br/>
            </w:r>
            <w:r>
              <w:rPr>
                <w:rFonts w:ascii="Times New Roman"/>
                <w:b w:val="false"/>
                <w:i w:val="false"/>
                <w:color w:val="000000"/>
                <w:sz w:val="20"/>
              </w:rPr>
              <w:t>налогообложения в части налога на</w:t>
            </w:r>
            <w:r>
              <w:br/>
            </w:r>
            <w:r>
              <w:rPr>
                <w:rFonts w:ascii="Times New Roman"/>
                <w:b w:val="false"/>
                <w:i w:val="false"/>
                <w:color w:val="000000"/>
                <w:sz w:val="20"/>
              </w:rPr>
              <w:t>добычу полезных ископаемых</w:t>
            </w:r>
          </w:p>
        </w:tc>
      </w:tr>
    </w:tbl>
    <w:p>
      <w:pPr>
        <w:spacing w:after="0"/>
        <w:ind w:left="0"/>
        <w:jc w:val="left"/>
      </w:pPr>
      <w:r>
        <w:rPr>
          <w:rFonts w:ascii="Times New Roman"/>
          <w:b/>
          <w:i w:val="false"/>
          <w:color w:val="000000"/>
        </w:rPr>
        <w:t xml:space="preserve"> Ставки налога</w:t>
      </w:r>
      <w:r>
        <w:br/>
      </w:r>
      <w:r>
        <w:rPr>
          <w:rFonts w:ascii="Times New Roman"/>
          <w:b/>
          <w:i w:val="false"/>
          <w:color w:val="000000"/>
        </w:rPr>
        <w:t>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углеводородного сырья</w:t>
      </w:r>
    </w:p>
    <w:p>
      <w:pPr>
        <w:spacing w:after="0"/>
        <w:ind w:left="0"/>
        <w:jc w:val="both"/>
      </w:pPr>
      <w:r>
        <w:rPr>
          <w:rFonts w:ascii="Times New Roman"/>
          <w:b w:val="false"/>
          <w:i w:val="false"/>
          <w:color w:val="000000"/>
          <w:sz w:val="28"/>
        </w:rPr>
        <w:t>
      1. Ставки налога на добычу полезных ископаемых на сырую нефть для высоковязких месторождений: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514"/>
        <w:gridCol w:w="4346"/>
        <w:gridCol w:w="341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200 до 300 мПа*сек</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300 мПа*сек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Ставки налога на добычу полезных ископаемых на сырую нефть для обводненных месторождений: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69"/>
        <w:gridCol w:w="4104"/>
        <w:gridCol w:w="3457"/>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85 до 95 %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95 % и выше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Ставки налога на добычу полезных ископаемых на сырую нефть для выработанных месторождений: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69"/>
        <w:gridCol w:w="4104"/>
        <w:gridCol w:w="3457"/>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80 до 95 %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95 % и выше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4. Ставки налога на добычу полезных ископаемых на сырую нефть для малодебитных месторождений: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22"/>
        <w:gridCol w:w="3100"/>
        <w:gridCol w:w="3101"/>
        <w:gridCol w:w="232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2 т. до 3 т. в сутки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1 т. до 2 т. в сутки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менее 1 т. в сутки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