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a223" w14:textId="898a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2012 года № 1201.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2006 г., № 12, ст. 113)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Размер выделяемых субсидий на 1 (один) кубометр поданной питьевой воды для вододателей в разрезе групповых водопроводов и локальных систем водоснабжения, являющихся безальтернативными источниками питьевого водоснабжения, одобренных Республиканской бюджетной комиссией на соответствующие финансовые годы, определяется как разница между тарифом на услуги по подаче питьевой воды, утвержденным уполномоченным государственным органом, осуществляющим руководство в сферах естественных монополий и на регулируемых рынках, за оказанные услуги по подаче питьевой воды гарантированного качества в пределах установленного лимита за минусом»;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7 исключить.</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