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bc7e1" w14:textId="bfbc7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Соглашения о займе (Проект развития автомобильных дорог "Восток-Запад" (участок Алматы-Хоргос): Международный транзитный коридор Западная Европа - Западный Китай (ЦАРЭС 1b))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12 сентября 2012 года № 1186</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подписании Соглашения о займе (Проект развития автомобильных дорог «Восток-Запад» (участок Алматы-Хоргос): Международный транзитный коридор Западная Европа – Западный Китай (ЦАРЭС 1b)) между Республикой Казахстан и Международным Банком Реконструкции и Развития».</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О подписании Соглашения о займе (Проект развития автомобильных</w:t>
      </w:r>
      <w:r>
        <w:br/>
      </w:r>
      <w:r>
        <w:rPr>
          <w:rFonts w:ascii="Times New Roman"/>
          <w:b/>
          <w:i w:val="false"/>
          <w:color w:val="000000"/>
        </w:rPr>
        <w:t>
дорог «Восток-Запад» (участок Алматы-Хоргос): Международный</w:t>
      </w:r>
      <w:r>
        <w:br/>
      </w:r>
      <w:r>
        <w:rPr>
          <w:rFonts w:ascii="Times New Roman"/>
          <w:b/>
          <w:i w:val="false"/>
          <w:color w:val="000000"/>
        </w:rPr>
        <w:t>
транзитный коридор Западная Европа – Западный Китай (ЦАРЭС 1b))</w:t>
      </w:r>
      <w:r>
        <w:br/>
      </w:r>
      <w:r>
        <w:rPr>
          <w:rFonts w:ascii="Times New Roman"/>
          <w:b/>
          <w:i w:val="false"/>
          <w:color w:val="000000"/>
        </w:rPr>
        <w:t>
между Республикой Казахстан и Международным Банком</w:t>
      </w:r>
      <w:r>
        <w:br/>
      </w:r>
      <w:r>
        <w:rPr>
          <w:rFonts w:ascii="Times New Roman"/>
          <w:b/>
          <w:i w:val="false"/>
          <w:color w:val="000000"/>
        </w:rPr>
        <w:t>
Реконструкции и Развития </w:t>
      </w:r>
    </w:p>
    <w:p>
      <w:pPr>
        <w:spacing w:after="0"/>
        <w:ind w:left="0"/>
        <w:jc w:val="both"/>
      </w:pPr>
      <w:r>
        <w:rPr>
          <w:rFonts w:ascii="Times New Roman"/>
          <w:b w:val="false"/>
          <w:i w:val="false"/>
          <w:color w:val="000000"/>
          <w:sz w:val="28"/>
        </w:rPr>
        <w:t xml:space="preserve">      В соответствии со статьей 8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1. Одобрить прилагаемый проект Соглашения о займе (Проект развития автомобильных дорог «Восток-Запад» (участок Алматы-Хоргос): Международный транзитный коридор Западная Европа – Западный Китай (ЦАРЭС 1b)) между Республикой Казахстан и Международным Банком Реконструкции и Развития.</w:t>
      </w:r>
      <w:r>
        <w:br/>
      </w:r>
      <w:r>
        <w:rPr>
          <w:rFonts w:ascii="Times New Roman"/>
          <w:b w:val="false"/>
          <w:i w:val="false"/>
          <w:color w:val="000000"/>
          <w:sz w:val="28"/>
        </w:rPr>
        <w:t>
      2. Уполномочить Министра финансов Республики Казахстан Жамишева Болата Бидахметовича подписать от имени Республики Казахстан Соглашение о займе (Проект развития автомобильных дорог «Восток-Запад» (участок Алматы-Хоргос): Международный транзитный коридор Западная Европа – Западный Китай (ЦАРЭС 1b)) между Республикой Казахстан и Международным Банком Реконструкции и Развития.</w:t>
      </w:r>
      <w:r>
        <w:br/>
      </w:r>
      <w:r>
        <w:rPr>
          <w:rFonts w:ascii="Times New Roman"/>
          <w:b w:val="false"/>
          <w:i w:val="false"/>
          <w:color w:val="000000"/>
          <w:sz w:val="28"/>
        </w:rPr>
        <w:t>
      3. Настоящий Указ вводится в действие со дня подписания.</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 » 2012 года № </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СОГЛАШЕНИЕ О ЗАЙМЕ</w:t>
      </w:r>
      <w:r>
        <w:br/>
      </w:r>
      <w:r>
        <w:rPr>
          <w:rFonts w:ascii="Times New Roman"/>
          <w:b/>
          <w:i w:val="false"/>
          <w:color w:val="000000"/>
        </w:rPr>
        <w:t>
(Проект развития автомобильных дорог «Восток-Запад» (участок</w:t>
      </w:r>
      <w:r>
        <w:br/>
      </w:r>
      <w:r>
        <w:rPr>
          <w:rFonts w:ascii="Times New Roman"/>
          <w:b/>
          <w:i w:val="false"/>
          <w:color w:val="000000"/>
        </w:rPr>
        <w:t>
Алматы-Хоргос): Международный транзитный коридор Западная</w:t>
      </w:r>
      <w:r>
        <w:br/>
      </w:r>
      <w:r>
        <w:rPr>
          <w:rFonts w:ascii="Times New Roman"/>
          <w:b/>
          <w:i w:val="false"/>
          <w:color w:val="000000"/>
        </w:rPr>
        <w:t>
Европа – Западный Китай (ЦАРЭС 1b)) между Республикой Казахстан</w:t>
      </w:r>
      <w:r>
        <w:br/>
      </w:r>
      <w:r>
        <w:rPr>
          <w:rFonts w:ascii="Times New Roman"/>
          <w:b/>
          <w:i w:val="false"/>
          <w:color w:val="000000"/>
        </w:rPr>
        <w:t>
и Международным Банком Реконструкции и Развития </w:t>
      </w:r>
    </w:p>
    <w:p>
      <w:pPr>
        <w:spacing w:after="0"/>
        <w:ind w:left="0"/>
        <w:jc w:val="both"/>
      </w:pPr>
      <w:r>
        <w:rPr>
          <w:rFonts w:ascii="Times New Roman"/>
          <w:b w:val="false"/>
          <w:i w:val="false"/>
          <w:color w:val="000000"/>
          <w:sz w:val="28"/>
        </w:rPr>
        <w:t>      Соглашение от ____________________ 201_ года между РЕСПУБЛИКОЙ КАЗАХСТАН («Заемщик») и МЕЖДУНАРОДНЫМ БАНКОМ РЕКОНСТРУКЦИИ И РАЗВИТИЯ («Банк»). Настоящим Заемщик и Банк договорились о следующем:</w:t>
      </w:r>
    </w:p>
    <w:p>
      <w:pPr>
        <w:spacing w:after="0"/>
        <w:ind w:left="0"/>
        <w:jc w:val="left"/>
      </w:pPr>
      <w:r>
        <w:rPr>
          <w:rFonts w:ascii="Times New Roman"/>
          <w:b/>
          <w:i w:val="false"/>
          <w:color w:val="000000"/>
        </w:rPr>
        <w:t xml:space="preserve"> СТАТЬЯ I — Общие условия; Определения </w:t>
      </w:r>
    </w:p>
    <w:p>
      <w:pPr>
        <w:spacing w:after="0"/>
        <w:ind w:left="0"/>
        <w:jc w:val="both"/>
      </w:pPr>
      <w:r>
        <w:rPr>
          <w:rFonts w:ascii="Times New Roman"/>
          <w:b w:val="false"/>
          <w:i w:val="false"/>
          <w:color w:val="000000"/>
          <w:sz w:val="28"/>
        </w:rPr>
        <w:t xml:space="preserve">      1.01. Общие Условия (определенные в Дополнении к настоящему Соглашению) являются неотъемлемой частью настоящего Соглашения. </w:t>
      </w:r>
      <w:r>
        <w:br/>
      </w:r>
      <w:r>
        <w:rPr>
          <w:rFonts w:ascii="Times New Roman"/>
          <w:b w:val="false"/>
          <w:i w:val="false"/>
          <w:color w:val="000000"/>
          <w:sz w:val="28"/>
        </w:rPr>
        <w:t>
      1.02. Если из контекста не следует иное, то используемые в данном Соглашении термины, начинающиеся с заглавных букв, используемые в Соглашении имеют значения, закрепленные за ними в Общих Условиях или в Дополнении к настоящему Соглашению.  </w:t>
      </w:r>
    </w:p>
    <w:p>
      <w:pPr>
        <w:spacing w:after="0"/>
        <w:ind w:left="0"/>
        <w:jc w:val="left"/>
      </w:pPr>
      <w:r>
        <w:rPr>
          <w:rFonts w:ascii="Times New Roman"/>
          <w:b/>
          <w:i w:val="false"/>
          <w:color w:val="000000"/>
        </w:rPr>
        <w:t xml:space="preserve"> СТАТЬЯ II — ЗАЕМ</w:t>
      </w:r>
    </w:p>
    <w:p>
      <w:pPr>
        <w:spacing w:after="0"/>
        <w:ind w:left="0"/>
        <w:jc w:val="both"/>
      </w:pPr>
      <w:r>
        <w:rPr>
          <w:rFonts w:ascii="Times New Roman"/>
          <w:b w:val="false"/>
          <w:i w:val="false"/>
          <w:color w:val="000000"/>
          <w:sz w:val="28"/>
        </w:rPr>
        <w:t xml:space="preserve">      2.01. Банк предоставляет Заемщику сумму, равную одному миллиарду шестидесяти восьми миллионам долларов США (1 068 000 000), которая может периодически конвертироваться посредством конвертации валют в соответствии с положениями Раздела 2.07 настоящего Соглашения («Заем»), на условиях, изложенных в настоящем Соглашении или на которые в нем имеются ссылки, с целью оказания содействия в финансировании проекта, описание которого приведено в Приложении 1 к настоящему Соглашению («Проект»). </w:t>
      </w:r>
      <w:r>
        <w:br/>
      </w:r>
      <w:r>
        <w:rPr>
          <w:rFonts w:ascii="Times New Roman"/>
          <w:b w:val="false"/>
          <w:i w:val="false"/>
          <w:color w:val="000000"/>
          <w:sz w:val="28"/>
        </w:rPr>
        <w:t xml:space="preserve">
      2.02. Заемщик вправе снимать средства Займа в соответствии с Разделом IV Приложения 2 к настоящему Соглашению. </w:t>
      </w:r>
      <w:r>
        <w:br/>
      </w:r>
      <w:r>
        <w:rPr>
          <w:rFonts w:ascii="Times New Roman"/>
          <w:b w:val="false"/>
          <w:i w:val="false"/>
          <w:color w:val="000000"/>
          <w:sz w:val="28"/>
        </w:rPr>
        <w:t xml:space="preserve">
      2.03. Единовременная комиссия, подлежащая уплате Заемщиком, составляет одну четвертую одного процента (0,25 %) от суммы Займа. Заемщик уплачивает комиссию не позднее, чем через 60 дней после даты вступления Соглашения о займе в силу. </w:t>
      </w:r>
      <w:r>
        <w:br/>
      </w:r>
      <w:r>
        <w:rPr>
          <w:rFonts w:ascii="Times New Roman"/>
          <w:b w:val="false"/>
          <w:i w:val="false"/>
          <w:color w:val="000000"/>
          <w:sz w:val="28"/>
        </w:rPr>
        <w:t>
      2.04. Проценты, подлежащие уплате Заемщиком за каждый процентный период, будет начисляться по ставке, равной ставке ЛИБОР для валюты Займа плюс переменный спрэд; при условии, что, при Конверсии всей или любой части основной суммы Займа размер вознаграждения, подлежащего выплате Заемщиком во время периода конверсии по этой сумме, может быть определен в соответствии с положениями статьи IV Общих Условий. Несмотря на вышесказанное, в случае, если любая из частей снятого непогашенного остатка Займа остается неуплаченной своевременно и не выплачивается в течение тридцати (30) дней, то размер вознаграждения, подлежащего выплате Заемщиком, в таком случае рассчитываться в соответствии с положениями Раздела 3.02 (d) Общих Условий.</w:t>
      </w:r>
      <w:r>
        <w:br/>
      </w:r>
      <w:r>
        <w:rPr>
          <w:rFonts w:ascii="Times New Roman"/>
          <w:b w:val="false"/>
          <w:i w:val="false"/>
          <w:color w:val="000000"/>
          <w:sz w:val="28"/>
        </w:rPr>
        <w:t xml:space="preserve">
      2.05. Датами платежей являются 15 февраля и 15 августа каждого года. </w:t>
      </w:r>
      <w:r>
        <w:br/>
      </w:r>
      <w:r>
        <w:rPr>
          <w:rFonts w:ascii="Times New Roman"/>
          <w:b w:val="false"/>
          <w:i w:val="false"/>
          <w:color w:val="000000"/>
          <w:sz w:val="28"/>
        </w:rPr>
        <w:t xml:space="preserve">
      2.06. Заемщик основную сумму Займа погашает в соответствии с графиком погашения, приведенным в Приложении 3 к настоящему Соглашению. </w:t>
      </w:r>
      <w:r>
        <w:br/>
      </w:r>
      <w:r>
        <w:rPr>
          <w:rFonts w:ascii="Times New Roman"/>
          <w:b w:val="false"/>
          <w:i w:val="false"/>
          <w:color w:val="000000"/>
          <w:sz w:val="28"/>
        </w:rPr>
        <w:t>
      2.07. (a) Заемщик может в любое время запросить произвести любую из следующих конверсий условий Займа с тем, чтобы обеспечить рациональное управление долгом: (i) изменение валюты Займа всей или любой части основной суммы Займа как снятой, так и неснятой на одобренную валюту; (ii) изменение базиса процентной ставки, применимого: (А) ко всей или к любой части снятой и непогашенной основной суммы Займа с переменной ставки на фиксированную ставку, и наоборот, или (В) ко всей или частичной части основной суммы Займа, снятой и непогашенной с переменной ставки, основанной на референтной ставке и переменного спрэда на переменной ставку на основании фиксированной референтной ставки и переменного спрэда или наоборот, или (С) ко всей основной сумме Займа, снятой и непогашенной, с переменной ставки, основанной на переменном спрэде, на переменной ставку, основанную на фиксированном спрэде; (iii) определение пределов переменной ставки или референтной ставки, применимой ко всей или частичной части снятой и непогашенной основной суммы Займа посредством установления верхнего предела процентной ставки или нижнего предела процентной ставки для переменной ставки или референтной ставки.</w:t>
      </w:r>
      <w:r>
        <w:br/>
      </w:r>
      <w:r>
        <w:rPr>
          <w:rFonts w:ascii="Times New Roman"/>
          <w:b w:val="false"/>
          <w:i w:val="false"/>
          <w:color w:val="000000"/>
          <w:sz w:val="28"/>
        </w:rPr>
        <w:t>
      (b) Любое изменение, запрошенное в соответствии с подпунктом (а) настоящего Раздела и одобренное Банком, будет считаться «Конверсией», как определено в Общих Условиях, и вступит в силу в соответствии с положениями статьи IV Общих Условий и Руководства по конверсии. </w:t>
      </w:r>
    </w:p>
    <w:p>
      <w:pPr>
        <w:spacing w:after="0"/>
        <w:ind w:left="0"/>
        <w:jc w:val="left"/>
      </w:pPr>
      <w:r>
        <w:rPr>
          <w:rFonts w:ascii="Times New Roman"/>
          <w:b/>
          <w:i w:val="false"/>
          <w:color w:val="000000"/>
        </w:rPr>
        <w:t xml:space="preserve"> СТАТЬЯ III — ПРОЕКТ</w:t>
      </w:r>
    </w:p>
    <w:p>
      <w:pPr>
        <w:spacing w:after="0"/>
        <w:ind w:left="0"/>
        <w:jc w:val="both"/>
      </w:pPr>
      <w:r>
        <w:rPr>
          <w:rFonts w:ascii="Times New Roman"/>
          <w:b w:val="false"/>
          <w:i w:val="false"/>
          <w:color w:val="000000"/>
          <w:sz w:val="28"/>
        </w:rPr>
        <w:t xml:space="preserve">      3.01. Заемщик заявляет о своей приверженности достижению целей Проекта. С этой целью Заемщик осуществляет Проект через МТК в соответствии с положениями статьи V Общих Условий. </w:t>
      </w:r>
      <w:r>
        <w:br/>
      </w:r>
      <w:r>
        <w:rPr>
          <w:rFonts w:ascii="Times New Roman"/>
          <w:b w:val="false"/>
          <w:i w:val="false"/>
          <w:color w:val="000000"/>
          <w:sz w:val="28"/>
        </w:rPr>
        <w:t xml:space="preserve">
      3.02. Без ограничений в соответствии с требованиями положений Раздела 3.01 настоящего Соглашения, и за исключением случаев, когда Заемщик и Банк могут договориться об ином, Заемщик обеспечивает реализацию Проекта в соответствии с Приложением 2 к настоящему Соглашению. </w:t>
      </w:r>
    </w:p>
    <w:p>
      <w:pPr>
        <w:spacing w:after="0"/>
        <w:ind w:left="0"/>
        <w:jc w:val="left"/>
      </w:pPr>
      <w:r>
        <w:rPr>
          <w:rFonts w:ascii="Times New Roman"/>
          <w:b/>
          <w:i w:val="false"/>
          <w:color w:val="000000"/>
        </w:rPr>
        <w:t xml:space="preserve"> СТАТЬЯ IV — ВСТУПЛЕНИЕ В СИЛУ </w:t>
      </w:r>
    </w:p>
    <w:p>
      <w:pPr>
        <w:spacing w:after="0"/>
        <w:ind w:left="0"/>
        <w:jc w:val="both"/>
      </w:pPr>
      <w:r>
        <w:rPr>
          <w:rFonts w:ascii="Times New Roman"/>
          <w:b w:val="false"/>
          <w:i w:val="false"/>
          <w:color w:val="000000"/>
          <w:sz w:val="28"/>
        </w:rPr>
        <w:t xml:space="preserve">      4.01. Дополнительными условиями вступления в силу являются следующие: </w:t>
      </w:r>
      <w:r>
        <w:br/>
      </w:r>
      <w:r>
        <w:rPr>
          <w:rFonts w:ascii="Times New Roman"/>
          <w:b w:val="false"/>
          <w:i w:val="false"/>
          <w:color w:val="000000"/>
          <w:sz w:val="28"/>
        </w:rPr>
        <w:t>
      (а) Заемщик через МТК обязан выбрать консультанта по финансовому управлению и консультанта по закупкам в соответствии с техническим заданием, удовлетворяющим Банк;</w:t>
      </w:r>
      <w:r>
        <w:br/>
      </w:r>
      <w:r>
        <w:rPr>
          <w:rFonts w:ascii="Times New Roman"/>
          <w:b w:val="false"/>
          <w:i w:val="false"/>
          <w:color w:val="000000"/>
          <w:sz w:val="28"/>
        </w:rPr>
        <w:t>
      (b) будет установлена система бухучета по Проекту, удовлетворяющая Банк, с адекватными встроенными средствами контроля, способная отслеживать ресурсы и расходы по Проекту и составлять финансовые отчеты, в том числе промежуточные финансовые отчеты (ПФО);</w:t>
      </w:r>
      <w:r>
        <w:br/>
      </w:r>
      <w:r>
        <w:rPr>
          <w:rFonts w:ascii="Times New Roman"/>
          <w:b w:val="false"/>
          <w:i w:val="false"/>
          <w:color w:val="000000"/>
          <w:sz w:val="28"/>
        </w:rPr>
        <w:t xml:space="preserve">
      (с) Заемщиком будет принято Руководство по реализации проекта, удовлетворяющее Банк. </w:t>
      </w:r>
      <w:r>
        <w:br/>
      </w:r>
      <w:r>
        <w:rPr>
          <w:rFonts w:ascii="Times New Roman"/>
          <w:b w:val="false"/>
          <w:i w:val="false"/>
          <w:color w:val="000000"/>
          <w:sz w:val="28"/>
        </w:rPr>
        <w:t xml:space="preserve">
      4.02. Последним сроком вступления в силу настоящего Соглашения является дата, наступающая по истечении 180 (сто восемьдесят) дней после даты подписания настоящего Соглашения. </w:t>
      </w:r>
    </w:p>
    <w:p>
      <w:pPr>
        <w:spacing w:after="0"/>
        <w:ind w:left="0"/>
        <w:jc w:val="left"/>
      </w:pPr>
      <w:r>
        <w:rPr>
          <w:rFonts w:ascii="Times New Roman"/>
          <w:b/>
          <w:i w:val="false"/>
          <w:color w:val="000000"/>
        </w:rPr>
        <w:t xml:space="preserve"> СТАТЬЯ V — Представитель Заемщика; Адреса</w:t>
      </w:r>
    </w:p>
    <w:p>
      <w:pPr>
        <w:spacing w:after="0"/>
        <w:ind w:left="0"/>
        <w:jc w:val="both"/>
      </w:pPr>
      <w:r>
        <w:rPr>
          <w:rFonts w:ascii="Times New Roman"/>
          <w:b w:val="false"/>
          <w:i w:val="false"/>
          <w:color w:val="000000"/>
          <w:sz w:val="28"/>
        </w:rPr>
        <w:t xml:space="preserve">      5.01. Представителем Заемщика является Министр финансов Республики Казахстан. </w:t>
      </w:r>
      <w:r>
        <w:br/>
      </w:r>
      <w:r>
        <w:rPr>
          <w:rFonts w:ascii="Times New Roman"/>
          <w:b w:val="false"/>
          <w:i w:val="false"/>
          <w:color w:val="000000"/>
          <w:sz w:val="28"/>
        </w:rPr>
        <w:t>
      5.02. Адрес Заемщика:</w:t>
      </w:r>
    </w:p>
    <w:p>
      <w:pPr>
        <w:spacing w:after="0"/>
        <w:ind w:left="0"/>
        <w:jc w:val="both"/>
      </w:pPr>
      <w:r>
        <w:rPr>
          <w:rFonts w:ascii="Times New Roman"/>
          <w:b w:val="false"/>
          <w:i w:val="false"/>
          <w:color w:val="000000"/>
          <w:sz w:val="28"/>
        </w:rPr>
        <w:t xml:space="preserve">      Министерство финансов Республики Казахстан </w:t>
      </w:r>
      <w:r>
        <w:br/>
      </w:r>
      <w:r>
        <w:rPr>
          <w:rFonts w:ascii="Times New Roman"/>
          <w:b w:val="false"/>
          <w:i w:val="false"/>
          <w:color w:val="000000"/>
          <w:sz w:val="28"/>
        </w:rPr>
        <w:t>
      пр. Победы, 11,</w:t>
      </w:r>
      <w:r>
        <w:br/>
      </w:r>
      <w:r>
        <w:rPr>
          <w:rFonts w:ascii="Times New Roman"/>
          <w:b w:val="false"/>
          <w:i w:val="false"/>
          <w:color w:val="000000"/>
          <w:sz w:val="28"/>
        </w:rPr>
        <w:t>
      010000, город Астана,</w:t>
      </w:r>
      <w:r>
        <w:br/>
      </w:r>
      <w:r>
        <w:rPr>
          <w:rFonts w:ascii="Times New Roman"/>
          <w:b w:val="false"/>
          <w:i w:val="false"/>
          <w:color w:val="000000"/>
          <w:sz w:val="28"/>
        </w:rPr>
        <w:t>
      Республика Казахстан </w:t>
      </w:r>
    </w:p>
    <w:p>
      <w:pPr>
        <w:spacing w:after="0"/>
        <w:ind w:left="0"/>
        <w:jc w:val="both"/>
      </w:pPr>
      <w:r>
        <w:rPr>
          <w:rFonts w:ascii="Times New Roman"/>
          <w:b w:val="false"/>
          <w:i w:val="false"/>
          <w:color w:val="000000"/>
          <w:sz w:val="28"/>
        </w:rPr>
        <w:t>      Телекс:                            Факс:      </w:t>
      </w:r>
    </w:p>
    <w:p>
      <w:pPr>
        <w:spacing w:after="0"/>
        <w:ind w:left="0"/>
        <w:jc w:val="both"/>
      </w:pPr>
      <w:r>
        <w:rPr>
          <w:rFonts w:ascii="Times New Roman"/>
          <w:b w:val="false"/>
          <w:i w:val="false"/>
          <w:color w:val="000000"/>
          <w:sz w:val="28"/>
        </w:rPr>
        <w:t>      265126 (FILIN)                     7 (7172) 717785 </w:t>
      </w:r>
    </w:p>
    <w:p>
      <w:pPr>
        <w:spacing w:after="0"/>
        <w:ind w:left="0"/>
        <w:jc w:val="both"/>
      </w:pPr>
      <w:r>
        <w:rPr>
          <w:rFonts w:ascii="Times New Roman"/>
          <w:b w:val="false"/>
          <w:i w:val="false"/>
          <w:color w:val="000000"/>
          <w:sz w:val="28"/>
        </w:rPr>
        <w:t>      5.03. Адрес Банка: </w:t>
      </w:r>
    </w:p>
    <w:p>
      <w:pPr>
        <w:spacing w:after="0"/>
        <w:ind w:left="0"/>
        <w:jc w:val="both"/>
      </w:pPr>
      <w:r>
        <w:rPr>
          <w:rFonts w:ascii="Times New Roman"/>
          <w:b w:val="false"/>
          <w:i w:val="false"/>
          <w:color w:val="000000"/>
          <w:sz w:val="28"/>
        </w:rPr>
        <w:t>      International Bank for Reconstruction and Development</w:t>
      </w:r>
      <w:r>
        <w:br/>
      </w:r>
      <w:r>
        <w:rPr>
          <w:rFonts w:ascii="Times New Roman"/>
          <w:b w:val="false"/>
          <w:i w:val="false"/>
          <w:color w:val="000000"/>
          <w:sz w:val="28"/>
        </w:rPr>
        <w:t>
      1818 H Street, N.W.</w:t>
      </w:r>
      <w:r>
        <w:br/>
      </w:r>
      <w:r>
        <w:rPr>
          <w:rFonts w:ascii="Times New Roman"/>
          <w:b w:val="false"/>
          <w:i w:val="false"/>
          <w:color w:val="000000"/>
          <w:sz w:val="28"/>
        </w:rPr>
        <w:t>
      Washington, D.C. 20433</w:t>
      </w:r>
      <w:r>
        <w:br/>
      </w:r>
      <w:r>
        <w:rPr>
          <w:rFonts w:ascii="Times New Roman"/>
          <w:b w:val="false"/>
          <w:i w:val="false"/>
          <w:color w:val="000000"/>
          <w:sz w:val="28"/>
        </w:rPr>
        <w:t>
      United States of America </w:t>
      </w:r>
    </w:p>
    <w:p>
      <w:pPr>
        <w:spacing w:after="0"/>
        <w:ind w:left="0"/>
        <w:jc w:val="both"/>
      </w:pPr>
      <w:r>
        <w:rPr>
          <w:rFonts w:ascii="Times New Roman"/>
          <w:b w:val="false"/>
          <w:i w:val="false"/>
          <w:color w:val="000000"/>
          <w:sz w:val="28"/>
        </w:rPr>
        <w:t>      Телеграф:            Телекс:              Факс:</w:t>
      </w:r>
    </w:p>
    <w:p>
      <w:pPr>
        <w:spacing w:after="0"/>
        <w:ind w:left="0"/>
        <w:jc w:val="both"/>
      </w:pPr>
      <w:r>
        <w:rPr>
          <w:rFonts w:ascii="Times New Roman"/>
          <w:b w:val="false"/>
          <w:i w:val="false"/>
          <w:color w:val="000000"/>
          <w:sz w:val="28"/>
        </w:rPr>
        <w:t>      INTBAFRAD            248423(MCI) или      1-202-477-6391</w:t>
      </w:r>
      <w:r>
        <w:br/>
      </w:r>
      <w:r>
        <w:rPr>
          <w:rFonts w:ascii="Times New Roman"/>
          <w:b w:val="false"/>
          <w:i w:val="false"/>
          <w:color w:val="000000"/>
          <w:sz w:val="28"/>
        </w:rPr>
        <w:t>
      Washington, D.C. 64145(MCI)</w:t>
      </w:r>
    </w:p>
    <w:p>
      <w:pPr>
        <w:spacing w:after="0"/>
        <w:ind w:left="0"/>
        <w:jc w:val="both"/>
      </w:pPr>
      <w:r>
        <w:rPr>
          <w:rFonts w:ascii="Times New Roman"/>
          <w:b w:val="false"/>
          <w:i w:val="false"/>
          <w:color w:val="000000"/>
          <w:sz w:val="28"/>
        </w:rPr>
        <w:t>      СОГЛАСОВАНО в городе Астана, Республика Казахстан ____________, ___________ в день и год, указанные выше.</w:t>
      </w:r>
    </w:p>
    <w:p>
      <w:pPr>
        <w:spacing w:after="0"/>
        <w:ind w:left="0"/>
        <w:jc w:val="both"/>
      </w:pPr>
      <w:r>
        <w:rPr>
          <w:rFonts w:ascii="Times New Roman"/>
          <w:b w:val="false"/>
          <w:i w:val="false"/>
          <w:color w:val="000000"/>
          <w:sz w:val="28"/>
        </w:rPr>
        <w:t>За РЕСПУБЛИКУ КАЗАХСТАН</w:t>
      </w:r>
      <w:r>
        <w:br/>
      </w:r>
      <w:r>
        <w:rPr>
          <w:rFonts w:ascii="Times New Roman"/>
          <w:b w:val="false"/>
          <w:i w:val="false"/>
          <w:color w:val="000000"/>
          <w:sz w:val="28"/>
        </w:rPr>
        <w:t>
Подписано:</w:t>
      </w:r>
    </w:p>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Уполномоченный представитель</w:t>
      </w:r>
    </w:p>
    <w:p>
      <w:pPr>
        <w:spacing w:after="0"/>
        <w:ind w:left="0"/>
        <w:jc w:val="both"/>
      </w:pPr>
      <w:r>
        <w:rPr>
          <w:rFonts w:ascii="Times New Roman"/>
          <w:b w:val="false"/>
          <w:i w:val="false"/>
          <w:color w:val="000000"/>
          <w:sz w:val="28"/>
        </w:rPr>
        <w:t>Ф.И.О.: ___________________________________</w:t>
      </w:r>
    </w:p>
    <w:p>
      <w:pPr>
        <w:spacing w:after="0"/>
        <w:ind w:left="0"/>
        <w:jc w:val="both"/>
      </w:pPr>
      <w:r>
        <w:rPr>
          <w:rFonts w:ascii="Times New Roman"/>
          <w:b w:val="false"/>
          <w:i w:val="false"/>
          <w:color w:val="000000"/>
          <w:sz w:val="28"/>
        </w:rPr>
        <w:t>Должность:</w:t>
      </w:r>
      <w:r>
        <w:br/>
      </w: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За МЕЖДУНАРОДНЫЙ БАНК РЕКОНСТРУКЦИИ И РАЗВИТИЯ</w:t>
      </w:r>
    </w:p>
    <w:p>
      <w:pPr>
        <w:spacing w:after="0"/>
        <w:ind w:left="0"/>
        <w:jc w:val="both"/>
      </w:pPr>
      <w:r>
        <w:rPr>
          <w:rFonts w:ascii="Times New Roman"/>
          <w:b w:val="false"/>
          <w:i w:val="false"/>
          <w:color w:val="000000"/>
          <w:sz w:val="28"/>
        </w:rPr>
        <w:t>Подписано:</w:t>
      </w:r>
    </w:p>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Уполномоченный представитель</w:t>
      </w:r>
    </w:p>
    <w:p>
      <w:pPr>
        <w:spacing w:after="0"/>
        <w:ind w:left="0"/>
        <w:jc w:val="both"/>
      </w:pPr>
      <w:r>
        <w:rPr>
          <w:rFonts w:ascii="Times New Roman"/>
          <w:b w:val="false"/>
          <w:i w:val="false"/>
          <w:color w:val="000000"/>
          <w:sz w:val="28"/>
        </w:rPr>
        <w:t>Ф.И.О: ___________________________________</w:t>
      </w:r>
    </w:p>
    <w:p>
      <w:pPr>
        <w:spacing w:after="0"/>
        <w:ind w:left="0"/>
        <w:jc w:val="both"/>
      </w:pPr>
      <w:r>
        <w:rPr>
          <w:rFonts w:ascii="Times New Roman"/>
          <w:b w:val="false"/>
          <w:i w:val="false"/>
          <w:color w:val="000000"/>
          <w:sz w:val="28"/>
        </w:rPr>
        <w:t>Должность: ____________________________________</w:t>
      </w:r>
    </w:p>
    <w:p>
      <w:pPr>
        <w:spacing w:after="0"/>
        <w:ind w:left="0"/>
        <w:jc w:val="left"/>
      </w:pPr>
      <w:r>
        <w:rPr>
          <w:rFonts w:ascii="Times New Roman"/>
          <w:b/>
          <w:i w:val="false"/>
          <w:color w:val="000000"/>
        </w:rPr>
        <w:t xml:space="preserve"> ПРИЛОЖЕНИЕ 1 Описание Проекта</w:t>
      </w:r>
    </w:p>
    <w:p>
      <w:pPr>
        <w:spacing w:after="0"/>
        <w:ind w:left="0"/>
        <w:jc w:val="both"/>
      </w:pPr>
      <w:r>
        <w:rPr>
          <w:rFonts w:ascii="Times New Roman"/>
          <w:b w:val="false"/>
          <w:i w:val="false"/>
          <w:color w:val="000000"/>
          <w:sz w:val="28"/>
        </w:rPr>
        <w:t>      Целью данного Проекта является повышение эффективности перевозок на участке Международного транзитного коридора Западная Европа – Западный Китай в пределах Алматинской области и усовершенствование управления автодорогами на участках автодорожного коридора Западная Европа – Западный Китай.</w:t>
      </w:r>
      <w:r>
        <w:br/>
      </w:r>
      <w:r>
        <w:rPr>
          <w:rFonts w:ascii="Times New Roman"/>
          <w:b w:val="false"/>
          <w:i w:val="false"/>
          <w:color w:val="000000"/>
          <w:sz w:val="28"/>
        </w:rPr>
        <w:t>
      Проект будет состоять из следующих компонентов:</w:t>
      </w:r>
      <w:r>
        <w:br/>
      </w:r>
      <w:r>
        <w:rPr>
          <w:rFonts w:ascii="Times New Roman"/>
          <w:b w:val="false"/>
          <w:i w:val="false"/>
          <w:color w:val="000000"/>
          <w:sz w:val="28"/>
        </w:rPr>
        <w:t>
      </w:t>
      </w:r>
      <w:r>
        <w:rPr>
          <w:rFonts w:ascii="Times New Roman"/>
          <w:b w:val="false"/>
          <w:i w:val="false"/>
          <w:color w:val="000000"/>
          <w:sz w:val="28"/>
          <w:u w:val="single"/>
        </w:rPr>
        <w:t>Компонент 1: Реконструкция и строительство участков автодороги в пределах Алматинской области</w:t>
      </w:r>
      <w:r>
        <w:br/>
      </w:r>
      <w:r>
        <w:rPr>
          <w:rFonts w:ascii="Times New Roman"/>
          <w:b w:val="false"/>
          <w:i w:val="false"/>
          <w:color w:val="000000"/>
          <w:sz w:val="28"/>
        </w:rPr>
        <w:t>
      (a) Выполнение работ по реконструкции и строительству, в том числе сопутствующих объездных дорог, мостов, транспортных развязок и вспомогательных сооружений, на участке Алматы – Хоргос в составе автодорожного коридора Западная Европа – Западный Китай в пределах Алматинской области; и</w:t>
      </w:r>
      <w:r>
        <w:br/>
      </w:r>
      <w:r>
        <w:rPr>
          <w:rFonts w:ascii="Times New Roman"/>
          <w:b w:val="false"/>
          <w:i w:val="false"/>
          <w:color w:val="000000"/>
          <w:sz w:val="28"/>
        </w:rPr>
        <w:t>
      (b) предоставление услуг консультантов по управлению и надзору за строительными работами в рамках Проекта.</w:t>
      </w:r>
      <w:r>
        <w:br/>
      </w:r>
      <w:r>
        <w:rPr>
          <w:rFonts w:ascii="Times New Roman"/>
          <w:b w:val="false"/>
          <w:i w:val="false"/>
          <w:color w:val="000000"/>
          <w:sz w:val="28"/>
        </w:rPr>
        <w:t>
      </w:t>
      </w:r>
      <w:r>
        <w:rPr>
          <w:rFonts w:ascii="Times New Roman"/>
          <w:b w:val="false"/>
          <w:i w:val="false"/>
          <w:color w:val="000000"/>
          <w:sz w:val="28"/>
          <w:u w:val="single"/>
        </w:rPr>
        <w:t>Компонент 2: Совершенствование управления автодорогами на участках автодорожного коридора Западная Европа – Западный Китай</w:t>
      </w:r>
      <w:r>
        <w:br/>
      </w:r>
      <w:r>
        <w:rPr>
          <w:rFonts w:ascii="Times New Roman"/>
          <w:b w:val="false"/>
          <w:i w:val="false"/>
          <w:color w:val="000000"/>
          <w:sz w:val="28"/>
        </w:rPr>
        <w:t>
      (a) Предоставление товаров и консультационных услуг для поддержки схемы пилотной эксплуатации и содержания на участки автомобильного коридора, охваченного ПРАДВЗ, на основе Хартии Качества;</w:t>
      </w:r>
      <w:r>
        <w:br/>
      </w:r>
      <w:r>
        <w:rPr>
          <w:rFonts w:ascii="Times New Roman"/>
          <w:b w:val="false"/>
          <w:i w:val="false"/>
          <w:color w:val="000000"/>
          <w:sz w:val="28"/>
        </w:rPr>
        <w:t>
      (b) предоставление услуг консультантов по разработке комплексной стратегии по внедрению платности в отношении Компонента 1 (а) Проекта;</w:t>
      </w:r>
      <w:r>
        <w:br/>
      </w:r>
      <w:r>
        <w:rPr>
          <w:rFonts w:ascii="Times New Roman"/>
          <w:b w:val="false"/>
          <w:i w:val="false"/>
          <w:color w:val="000000"/>
          <w:sz w:val="28"/>
        </w:rPr>
        <w:t>
      (c) предоставление услуг консультантов для поддержки мероприятий СРАДС по реализации институциональной реформы.</w:t>
      </w:r>
    </w:p>
    <w:p>
      <w:pPr>
        <w:spacing w:after="0"/>
        <w:ind w:left="0"/>
        <w:jc w:val="left"/>
      </w:pPr>
      <w:r>
        <w:rPr>
          <w:rFonts w:ascii="Times New Roman"/>
          <w:b/>
          <w:i w:val="false"/>
          <w:color w:val="000000"/>
        </w:rPr>
        <w:t xml:space="preserve"> ПРИЛОЖЕНИЕ 2</w:t>
      </w:r>
    </w:p>
    <w:p>
      <w:pPr>
        <w:spacing w:after="0"/>
        <w:ind w:left="0"/>
        <w:jc w:val="both"/>
      </w:pPr>
      <w:r>
        <w:rPr>
          <w:rFonts w:ascii="Times New Roman"/>
          <w:b w:val="false"/>
          <w:i w:val="false"/>
          <w:color w:val="000000"/>
          <w:sz w:val="28"/>
        </w:rPr>
        <w:t>      </w:t>
      </w:r>
      <w:r>
        <w:rPr>
          <w:rFonts w:ascii="Times New Roman"/>
          <w:b/>
          <w:i w:val="false"/>
          <w:color w:val="000000"/>
          <w:sz w:val="28"/>
        </w:rPr>
        <w:t>Исполнение Проекта</w:t>
      </w:r>
    </w:p>
    <w:p>
      <w:pPr>
        <w:spacing w:after="0"/>
        <w:ind w:left="0"/>
        <w:jc w:val="both"/>
      </w:pPr>
      <w:r>
        <w:rPr>
          <w:rFonts w:ascii="Times New Roman"/>
          <w:b w:val="false"/>
          <w:i w:val="false"/>
          <w:color w:val="000000"/>
          <w:sz w:val="28"/>
        </w:rPr>
        <w:t>      Раздел I. Механизмы реализации</w:t>
      </w:r>
    </w:p>
    <w:p>
      <w:pPr>
        <w:spacing w:after="0"/>
        <w:ind w:left="0"/>
        <w:jc w:val="both"/>
      </w:pPr>
      <w:r>
        <w:rPr>
          <w:rFonts w:ascii="Times New Roman"/>
          <w:b w:val="false"/>
          <w:i w:val="false"/>
          <w:color w:val="000000"/>
          <w:sz w:val="28"/>
        </w:rPr>
        <w:t>      A. Институциональные механизмы</w:t>
      </w:r>
    </w:p>
    <w:p>
      <w:pPr>
        <w:spacing w:after="0"/>
        <w:ind w:left="0"/>
        <w:jc w:val="both"/>
      </w:pPr>
      <w:r>
        <w:rPr>
          <w:rFonts w:ascii="Times New Roman"/>
          <w:b w:val="false"/>
          <w:i w:val="false"/>
          <w:color w:val="000000"/>
          <w:sz w:val="28"/>
        </w:rPr>
        <w:t>      Заемщик осуществляет Проект в соответствии со следующими институциональными и другими механизмами:</w:t>
      </w:r>
      <w:r>
        <w:br/>
      </w:r>
      <w:r>
        <w:rPr>
          <w:rFonts w:ascii="Times New Roman"/>
          <w:b w:val="false"/>
          <w:i w:val="false"/>
          <w:color w:val="000000"/>
          <w:sz w:val="28"/>
        </w:rPr>
        <w:t xml:space="preserve">
      1. Заемщик через МТК осуществляет реализацию Проекта в соответствии с требованиями, критериями, организационными механизмами и операционными процедурами, указанными в Руководстве по реализации Проекта, Плане мероприятий по УБК, РПП и ОВОС, и не может передавать, вносить изменения, отменять или отказываться от каких-либо положений Руководства по реализации проекта, Плана мероприятий по УБК, РПП и ОВОС, без предварительного одобрения Банком. </w:t>
      </w:r>
      <w:r>
        <w:br/>
      </w:r>
      <w:r>
        <w:rPr>
          <w:rFonts w:ascii="Times New Roman"/>
          <w:b w:val="false"/>
          <w:i w:val="false"/>
          <w:color w:val="000000"/>
          <w:sz w:val="28"/>
        </w:rPr>
        <w:t xml:space="preserve">
      2. Комитет автомобильных дорог в составе МТК будет осуществлять ежедневные мероприятия по реализации Проекта в соответствии с требованиями, изложенными в пункте А.1 выше. </w:t>
      </w:r>
      <w:r>
        <w:br/>
      </w:r>
      <w:r>
        <w:rPr>
          <w:rFonts w:ascii="Times New Roman"/>
          <w:b w:val="false"/>
          <w:i w:val="false"/>
          <w:color w:val="000000"/>
          <w:sz w:val="28"/>
        </w:rPr>
        <w:t>
      3. Заемщик через МТК не позднее 15-го декабря каждого календарного года в течение реализации Проекта, начиная с 15-го декабря 2012 года обязан направлять в Банк предлагаемый бюджет на эксплуатацию и содержание автодорожного коридора на следующий календарный год и обязан согласовывать с Банком график мероприятий, запланированных на реализацию Компонента 2 (а) Проекта на следующий календарный год.</w:t>
      </w:r>
      <w:r>
        <w:br/>
      </w:r>
      <w:r>
        <w:rPr>
          <w:rFonts w:ascii="Times New Roman"/>
          <w:b w:val="false"/>
          <w:i w:val="false"/>
          <w:color w:val="000000"/>
          <w:sz w:val="28"/>
        </w:rPr>
        <w:t>
      4. Заемщик поручит МТК (i) не позднее 30 июня 2013 года обеспечить разработку и согласование типовой формы Хартии качества для пилотной схемы эксплуатации и содержания дорог, предусмотренной в Компоненте 2 (а) Проекта; (ii) обеспечить, чтобы стандарты эксплуатации и содержания в каждой Хартии качества, разработанные на основе формы Хартии качества соответствовали.</w:t>
      </w:r>
      <w:r>
        <w:br/>
      </w:r>
      <w:r>
        <w:rPr>
          <w:rFonts w:ascii="Times New Roman"/>
          <w:b w:val="false"/>
          <w:i w:val="false"/>
          <w:color w:val="000000"/>
          <w:sz w:val="28"/>
        </w:rPr>
        <w:t>
      5. Заемщик обеспечит, чтобы не позднее, чем по прошествии 3 месяцев после того, как каждый подучасток Автодорожного коридора в рамках ПРАДВЗ будет открыт для проезда транспорта, и в соответствии с Хартией качества, МТК начал эксплуатацию и содержание вышеуказанного подучастка, как определено в рамках пилотных мероприятий в Компоненте 2 (а) Проекта.</w:t>
      </w:r>
      <w:r>
        <w:br/>
      </w:r>
      <w:r>
        <w:rPr>
          <w:rFonts w:ascii="Times New Roman"/>
          <w:b w:val="false"/>
          <w:i w:val="false"/>
          <w:color w:val="000000"/>
          <w:sz w:val="28"/>
        </w:rPr>
        <w:t>
      6. Заемщик через МТК не позднее 30 января 2015 года представит Банку удовлетворительную для него оценку потребностей в эксплуатации и содержании Автодорожного коридора на период не менее 15 лет с даты оценки, которая осветит потенциальные возможности финансирования недостающих работ, необходимых для достижения удовлетворительного уровня услуг вдоль всего Автодорожного коридора.</w:t>
      </w:r>
      <w:r>
        <w:br/>
      </w:r>
      <w:r>
        <w:rPr>
          <w:rFonts w:ascii="Times New Roman"/>
          <w:b w:val="false"/>
          <w:i w:val="false"/>
          <w:color w:val="000000"/>
          <w:sz w:val="28"/>
        </w:rPr>
        <w:t>
      7. В течение всего периода реализации проекта Заемщик предоставит необходимые бюджетные ресурсы в соответствии с требованиями Банка по способу и регулярности их предоставления, но не реже, чем ежеквартально, для обеспечения достаточных финансовых средств для оплаты ожидаемых расходов, связанных с финансированием мероприятий Проекта на данный квартал.</w:t>
      </w:r>
      <w:r>
        <w:br/>
      </w:r>
      <w:r>
        <w:rPr>
          <w:rFonts w:ascii="Times New Roman"/>
          <w:b w:val="false"/>
          <w:i w:val="false"/>
          <w:color w:val="000000"/>
          <w:sz w:val="28"/>
        </w:rPr>
        <w:t>
      8. Заемщик через МТК обеспечит функционирование (1) СРАДС и группы СРАДС, состав, ресурсы и техническое задание которых являются удовлетворительными для Банка; и (2) Группы по управлению автодорогами, состав, ресурсы и техническое задание которой являются удовлетворительными для Банка.</w:t>
      </w:r>
    </w:p>
    <w:p>
      <w:pPr>
        <w:spacing w:after="0"/>
        <w:ind w:left="0"/>
        <w:jc w:val="both"/>
      </w:pPr>
      <w:r>
        <w:rPr>
          <w:rFonts w:ascii="Times New Roman"/>
          <w:b w:val="false"/>
          <w:i w:val="false"/>
          <w:color w:val="000000"/>
          <w:sz w:val="28"/>
        </w:rPr>
        <w:t>      B</w:t>
      </w:r>
      <w:r>
        <w:rPr>
          <w:rFonts w:ascii="Times New Roman"/>
          <w:b/>
          <w:i w:val="false"/>
          <w:color w:val="000000"/>
          <w:sz w:val="28"/>
        </w:rPr>
        <w:t>. Обеспечение безопасности</w:t>
      </w:r>
    </w:p>
    <w:p>
      <w:pPr>
        <w:spacing w:after="0"/>
        <w:ind w:left="0"/>
        <w:jc w:val="both"/>
      </w:pPr>
      <w:r>
        <w:rPr>
          <w:rFonts w:ascii="Times New Roman"/>
          <w:b w:val="false"/>
          <w:i w:val="false"/>
          <w:color w:val="000000"/>
          <w:sz w:val="28"/>
        </w:rPr>
        <w:t>      1. Заемщик:</w:t>
      </w:r>
      <w:r>
        <w:br/>
      </w:r>
      <w:r>
        <w:rPr>
          <w:rFonts w:ascii="Times New Roman"/>
          <w:b w:val="false"/>
          <w:i w:val="false"/>
          <w:color w:val="000000"/>
          <w:sz w:val="28"/>
        </w:rPr>
        <w:t>
      (а) гарантирует, что все работы, выполняемые для целей реализации Проекта, соответствуют экологическим стандартам и требованиям, удовлетворяющим Банк; (b) гарантирует, что Проект реализуется в соответствии с положениями ОВОС и всеми применимыми ПООС; и (с) гарантирует полную реализацию ПООС приемлемым для Банка способом, в том числе все необходимые меры по сведению к минимуму и смягчению любого негативного экологического воздействия по причине реализации Проекта.</w:t>
      </w:r>
      <w:r>
        <w:br/>
      </w:r>
      <w:r>
        <w:rPr>
          <w:rFonts w:ascii="Times New Roman"/>
          <w:b w:val="false"/>
          <w:i w:val="false"/>
          <w:color w:val="000000"/>
          <w:sz w:val="28"/>
        </w:rPr>
        <w:t>
      2. Заемщик:</w:t>
      </w:r>
      <w:r>
        <w:br/>
      </w:r>
      <w:r>
        <w:rPr>
          <w:rFonts w:ascii="Times New Roman"/>
          <w:b w:val="false"/>
          <w:i w:val="false"/>
          <w:color w:val="000000"/>
          <w:sz w:val="28"/>
        </w:rPr>
        <w:t>
      (а) гарантирует, что МТК через КАД разработает все ПМП, требуемые пунктом 3(b) ниже, в соответствии с РПП; (b) гарантирует соблюдение или соблюдение МТК через КАД и опубликование или опубликование КАДом имеющихся процедур рассмотрения жалоб для рассмотрения справедливым образом в соответствии с РПП всех жалоб, возникающих в связи с реализацией ОРП и всех применимых ПМП, со стороны переселенных лиц (как этот термин определен в ПМП) и принятие всех необходимых мер по реализации действий, предусмотренных такими процедурами рассмотрения жалоб; (с) через МТК своевременно направит в Банк выводы и рекомендации в отношении дальнейших действий по результатам каждого такого обзора; и (d) через МТК реализует все такие рекомендации дальнейших действий, которые будут согласованы Банком.</w:t>
      </w:r>
      <w:r>
        <w:br/>
      </w:r>
      <w:r>
        <w:rPr>
          <w:rFonts w:ascii="Times New Roman"/>
          <w:b w:val="false"/>
          <w:i w:val="false"/>
          <w:color w:val="000000"/>
          <w:sz w:val="28"/>
        </w:rPr>
        <w:t>
      3. Заемщик через МТК:</w:t>
      </w:r>
      <w:r>
        <w:br/>
      </w:r>
      <w:r>
        <w:rPr>
          <w:rFonts w:ascii="Times New Roman"/>
          <w:b w:val="false"/>
          <w:i w:val="false"/>
          <w:color w:val="000000"/>
          <w:sz w:val="28"/>
        </w:rPr>
        <w:t>
      (а) не может начинать любые работы на участках проектной территории, где выкуп земель был осуществлен Заемщиком до даты данного Соглашения для целей реализации деятельности по Проекту, если только Заемщик и Банк не согласовали все меры, определенные в ОРП для случаев, которые не были полностью решены и реализованы на таких участках, в некотором отношении удовлетворяющие Банк, в соответствии с ОРП;</w:t>
      </w:r>
      <w:r>
        <w:br/>
      </w:r>
      <w:r>
        <w:rPr>
          <w:rFonts w:ascii="Times New Roman"/>
          <w:b w:val="false"/>
          <w:i w:val="false"/>
          <w:color w:val="000000"/>
          <w:sz w:val="28"/>
        </w:rPr>
        <w:t>
      (b) не может начинать любые работы по Проекту на участках проектной территории, где выкуп земли, который не предусматривался на момент подписания данного Соглашения, стал необходим, без подготовки Планов мероприятий по переселению (ПМП) удовлетворяющие Банк, в соответствии с Рамочной политикой по переселению; и обеспечит, чтобы такой выкуп земель был произведен в соответствии с Планами мероприятий по переселению;</w:t>
      </w:r>
      <w:r>
        <w:br/>
      </w:r>
      <w:r>
        <w:rPr>
          <w:rFonts w:ascii="Times New Roman"/>
          <w:b w:val="false"/>
          <w:i w:val="false"/>
          <w:color w:val="000000"/>
          <w:sz w:val="28"/>
        </w:rPr>
        <w:t>
      (c) (i) реализует Проект в соответствии с ПМП или соответствующими Планами мероприятий по переселению; и (ii) не будет вносить изменения, приостанавливать или отменять какие-либо положения ОРП или соответствующих Планов мероприятий по переселению без предварительного согласования с Банком.</w:t>
      </w:r>
      <w:r>
        <w:br/>
      </w:r>
      <w:r>
        <w:rPr>
          <w:rFonts w:ascii="Times New Roman"/>
          <w:b w:val="false"/>
          <w:i w:val="false"/>
          <w:color w:val="000000"/>
          <w:sz w:val="28"/>
        </w:rPr>
        <w:t>
      4. Заемщик через МТК:</w:t>
      </w:r>
      <w:r>
        <w:br/>
      </w:r>
      <w:r>
        <w:rPr>
          <w:rFonts w:ascii="Times New Roman"/>
          <w:b w:val="false"/>
          <w:i w:val="false"/>
          <w:color w:val="000000"/>
          <w:sz w:val="28"/>
        </w:rPr>
        <w:t>
      (а) подготовит до начала любых работ по Проекту Планы охраны окружающей среды, удовлетворяющие Банк, в соответствии с ОВОС;</w:t>
      </w:r>
      <w:r>
        <w:br/>
      </w:r>
      <w:r>
        <w:rPr>
          <w:rFonts w:ascii="Times New Roman"/>
          <w:b w:val="false"/>
          <w:i w:val="false"/>
          <w:color w:val="000000"/>
          <w:sz w:val="28"/>
        </w:rPr>
        <w:t>
      (b) будет реализовывать Проект в соответствии с такими Планами охраны окружающей среды; и</w:t>
      </w:r>
      <w:r>
        <w:br/>
      </w:r>
      <w:r>
        <w:rPr>
          <w:rFonts w:ascii="Times New Roman"/>
          <w:b w:val="false"/>
          <w:i w:val="false"/>
          <w:color w:val="000000"/>
          <w:sz w:val="28"/>
        </w:rPr>
        <w:t>
      (с) не может вносить изменения, приостанавливать или аннулировать какие-либо положения соответствующих Планов охраны окружающей среды без предварительного согласования с Банком.</w:t>
      </w:r>
    </w:p>
    <w:p>
      <w:pPr>
        <w:spacing w:after="0"/>
        <w:ind w:left="0"/>
        <w:jc w:val="both"/>
      </w:pPr>
      <w:r>
        <w:rPr>
          <w:rFonts w:ascii="Times New Roman"/>
          <w:b w:val="false"/>
          <w:i w:val="false"/>
          <w:color w:val="000000"/>
          <w:sz w:val="28"/>
        </w:rPr>
        <w:t>      </w:t>
      </w:r>
      <w:r>
        <w:rPr>
          <w:rFonts w:ascii="Times New Roman"/>
          <w:b/>
          <w:i w:val="false"/>
          <w:color w:val="000000"/>
          <w:sz w:val="28"/>
        </w:rPr>
        <w:t>С. Мероприятия по Борьбе с Коррупцией</w:t>
      </w:r>
    </w:p>
    <w:p>
      <w:pPr>
        <w:spacing w:after="0"/>
        <w:ind w:left="0"/>
        <w:jc w:val="both"/>
      </w:pPr>
      <w:r>
        <w:rPr>
          <w:rFonts w:ascii="Times New Roman"/>
          <w:b w:val="false"/>
          <w:i w:val="false"/>
          <w:color w:val="000000"/>
          <w:sz w:val="28"/>
        </w:rPr>
        <w:t>      Заемщик обеспечивает, чтобы Проект осуществлялся в соответствии с положениями Руководства по борьбе с коррупцией и Планом мероприятий по руководству Проектом и противодействую коррупции.</w:t>
      </w:r>
    </w:p>
    <w:p>
      <w:pPr>
        <w:spacing w:after="0"/>
        <w:ind w:left="0"/>
        <w:jc w:val="both"/>
      </w:pPr>
      <w:r>
        <w:rPr>
          <w:rFonts w:ascii="Times New Roman"/>
          <w:b w:val="false"/>
          <w:i w:val="false"/>
          <w:color w:val="000000"/>
          <w:sz w:val="28"/>
        </w:rPr>
        <w:t>      </w:t>
      </w:r>
      <w:r>
        <w:rPr>
          <w:rFonts w:ascii="Times New Roman"/>
          <w:b/>
          <w:i w:val="false"/>
          <w:color w:val="000000"/>
          <w:sz w:val="28"/>
        </w:rPr>
        <w:t>Раздел II. Отчетность по мониторингу и оценка Проекта</w:t>
      </w:r>
    </w:p>
    <w:p>
      <w:pPr>
        <w:spacing w:after="0"/>
        <w:ind w:left="0"/>
        <w:jc w:val="both"/>
      </w:pPr>
      <w:r>
        <w:rPr>
          <w:rFonts w:ascii="Times New Roman"/>
          <w:b w:val="false"/>
          <w:i w:val="false"/>
          <w:color w:val="000000"/>
          <w:sz w:val="28"/>
        </w:rPr>
        <w:t>      </w:t>
      </w:r>
      <w:r>
        <w:rPr>
          <w:rFonts w:ascii="Times New Roman"/>
          <w:b/>
          <w:i w:val="false"/>
          <w:color w:val="000000"/>
          <w:sz w:val="28"/>
        </w:rPr>
        <w:t>A. Отчеты по Проекту</w:t>
      </w:r>
    </w:p>
    <w:p>
      <w:pPr>
        <w:spacing w:after="0"/>
        <w:ind w:left="0"/>
        <w:jc w:val="both"/>
      </w:pPr>
      <w:r>
        <w:rPr>
          <w:rFonts w:ascii="Times New Roman"/>
          <w:b w:val="false"/>
          <w:i w:val="false"/>
          <w:color w:val="000000"/>
          <w:sz w:val="28"/>
        </w:rPr>
        <w:t xml:space="preserve">      1. Заемщик осуществляет мониторинг и оценивает ход реализации Проекта, и подготавливает отчеты по Проекту в соответствии с положениями Раздела 5.08 Общих Условий и на основе индикаторов, согласованных с Банком. Каждый отчет по Проекту охватывает период в одно календарное полугодие, и будет представлен Банку не позднее, чем через сорок пять (45) дней после окончания периода, охватываемого данным отчетом. </w:t>
      </w:r>
      <w:r>
        <w:br/>
      </w:r>
      <w:r>
        <w:rPr>
          <w:rFonts w:ascii="Times New Roman"/>
          <w:b w:val="false"/>
          <w:i w:val="false"/>
          <w:color w:val="000000"/>
          <w:sz w:val="28"/>
        </w:rPr>
        <w:t>
      2. Не позднее 31 декабря 2012 года и каждый год в последствии Заемщик через МТК совместно с Банком проводит ежегодные обзоры хода реализации Проекта. В ежегодные обзоры, помимо всего прочего, будет входить следующее:</w:t>
      </w:r>
      <w:r>
        <w:br/>
      </w:r>
      <w:r>
        <w:rPr>
          <w:rFonts w:ascii="Times New Roman"/>
          <w:b w:val="false"/>
          <w:i w:val="false"/>
          <w:color w:val="000000"/>
          <w:sz w:val="28"/>
        </w:rPr>
        <w:t>
      (а) прогресс в достижении целей Проекта;</w:t>
      </w:r>
      <w:r>
        <w:br/>
      </w:r>
      <w:r>
        <w:rPr>
          <w:rFonts w:ascii="Times New Roman"/>
          <w:b w:val="false"/>
          <w:i w:val="false"/>
          <w:color w:val="000000"/>
          <w:sz w:val="28"/>
        </w:rPr>
        <w:t>
      (b) эффективность Проекта в целом в соответствии с индикаторами эффективности Проекта; и</w:t>
      </w:r>
      <w:r>
        <w:br/>
      </w:r>
      <w:r>
        <w:rPr>
          <w:rFonts w:ascii="Times New Roman"/>
          <w:b w:val="false"/>
          <w:i w:val="false"/>
          <w:color w:val="000000"/>
          <w:sz w:val="28"/>
        </w:rPr>
        <w:t>
      (с) прогресс, достигнутый в реализации рамочных мероприятий.</w:t>
      </w:r>
      <w:r>
        <w:br/>
      </w:r>
      <w:r>
        <w:rPr>
          <w:rFonts w:ascii="Times New Roman"/>
          <w:b w:val="false"/>
          <w:i w:val="false"/>
          <w:color w:val="000000"/>
          <w:sz w:val="28"/>
        </w:rPr>
        <w:t>
      3. Заемщик через МТК подготавливает не позднее, чем за 4 (четыре) недели до ежегодного обзора и представляет в Банк отдельный отчет с описанием состояния реализации каждого компонента Проекта и сводный отчет о реализации Проекта в целом.</w:t>
      </w:r>
    </w:p>
    <w:p>
      <w:pPr>
        <w:spacing w:after="0"/>
        <w:ind w:left="0"/>
        <w:jc w:val="both"/>
      </w:pPr>
      <w:r>
        <w:rPr>
          <w:rFonts w:ascii="Times New Roman"/>
          <w:b w:val="false"/>
          <w:i w:val="false"/>
          <w:color w:val="000000"/>
          <w:sz w:val="28"/>
        </w:rPr>
        <w:t>      </w:t>
      </w:r>
      <w:r>
        <w:rPr>
          <w:rFonts w:ascii="Times New Roman"/>
          <w:b/>
          <w:i w:val="false"/>
          <w:color w:val="000000"/>
          <w:sz w:val="28"/>
        </w:rPr>
        <w:t>B. Финансовое управление, финансовая отчетность и аудит</w:t>
      </w:r>
      <w:r>
        <w:rPr>
          <w:rFonts w:ascii="Times New Roman"/>
          <w:b w:val="false"/>
          <w:i w:val="false"/>
          <w:color w:val="000000"/>
          <w:sz w:val="28"/>
        </w:rPr>
        <w:t> </w:t>
      </w:r>
    </w:p>
    <w:p>
      <w:pPr>
        <w:spacing w:after="0"/>
        <w:ind w:left="0"/>
        <w:jc w:val="both"/>
      </w:pPr>
      <w:r>
        <w:rPr>
          <w:rFonts w:ascii="Times New Roman"/>
          <w:b w:val="false"/>
          <w:i w:val="false"/>
          <w:color w:val="000000"/>
          <w:sz w:val="28"/>
        </w:rPr>
        <w:t>      1. Заемщик обязан вести или следить за ведением системы финансового управления в соответствии с положениями Раздела 5.09 Общих Условий.</w:t>
      </w:r>
      <w:r>
        <w:br/>
      </w:r>
      <w:r>
        <w:rPr>
          <w:rFonts w:ascii="Times New Roman"/>
          <w:b w:val="false"/>
          <w:i w:val="false"/>
          <w:color w:val="000000"/>
          <w:sz w:val="28"/>
        </w:rPr>
        <w:t xml:space="preserve">
      2. Без ограничения к положениям Части А данного Раздела, Заемщик готовит и представляет в Банк не позднее, чем через сорок пять (45) дней после окончания каждого календарного квартала, промежуточные неаудированные финансовые отчеты по Проекту за квартал по форме и содержанию удовлетворительные для Банка. </w:t>
      </w:r>
      <w:r>
        <w:br/>
      </w:r>
      <w:r>
        <w:rPr>
          <w:rFonts w:ascii="Times New Roman"/>
          <w:b w:val="false"/>
          <w:i w:val="false"/>
          <w:color w:val="000000"/>
          <w:sz w:val="28"/>
        </w:rPr>
        <w:t>
      3. Заемщик проводит аудит своей финансовой отчетности в соответствии с положениями Раздела 5.09 (б) Общих Условий. Каждый аудит финансовой отчетности охватывает период в 1 (один) финансовый год Заемщика. Финансовая отчетность за каждый такой период, прошедшая аудиторскую проверку, предоставляется в Банк не позднее шести (6) месяцев после окончания каждого такого периода.</w:t>
      </w:r>
    </w:p>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III. </w:t>
      </w:r>
      <w:r>
        <w:rPr>
          <w:rFonts w:ascii="Times New Roman"/>
          <w:b w:val="false"/>
          <w:i w:val="false"/>
          <w:color w:val="000000"/>
          <w:sz w:val="28"/>
          <w:u w:val="single"/>
        </w:rPr>
        <w:t>Закупки</w:t>
      </w:r>
    </w:p>
    <w:p>
      <w:pPr>
        <w:spacing w:after="0"/>
        <w:ind w:left="0"/>
        <w:jc w:val="both"/>
      </w:pPr>
      <w:r>
        <w:rPr>
          <w:rFonts w:ascii="Times New Roman"/>
          <w:b w:val="false"/>
          <w:i w:val="false"/>
          <w:color w:val="000000"/>
          <w:sz w:val="28"/>
        </w:rPr>
        <w:t>      </w:t>
      </w:r>
      <w:r>
        <w:rPr>
          <w:rFonts w:ascii="Times New Roman"/>
          <w:b/>
          <w:i w:val="false"/>
          <w:color w:val="000000"/>
          <w:sz w:val="28"/>
        </w:rPr>
        <w:t>A. Общие положения</w:t>
      </w:r>
    </w:p>
    <w:p>
      <w:pPr>
        <w:spacing w:after="0"/>
        <w:ind w:left="0"/>
        <w:jc w:val="both"/>
      </w:pPr>
      <w:r>
        <w:rPr>
          <w:rFonts w:ascii="Times New Roman"/>
          <w:b w:val="false"/>
          <w:i w:val="false"/>
          <w:color w:val="000000"/>
          <w:sz w:val="28"/>
        </w:rPr>
        <w:t>      1. Товары, работы и неконсультационные услуги. Все товары, работы и неконсультационные услуги, необходимые для Проекта и финансируемые из средств Займа, закупаются в соответствии с требованиями, содержащимися или на которые содержатся ссылки в Разделе I Руководства по закупкам, а также в соответствии с положениями настоящего Приложения.</w:t>
      </w:r>
      <w:r>
        <w:br/>
      </w:r>
      <w:r>
        <w:rPr>
          <w:rFonts w:ascii="Times New Roman"/>
          <w:b w:val="false"/>
          <w:i w:val="false"/>
          <w:color w:val="000000"/>
          <w:sz w:val="28"/>
        </w:rPr>
        <w:t>
      2. Услуги консультантов. Все услуги консультантов, необходимые для Проекта и финансируемые из средств Займа, закупаются в соответствии с требованиями, содержащимися или на которые содержатся ссылки в Разделе I и IV Руководства по отбору и найму консультантов заемщиками Всемирного банка (Руководство по консультантам), а также в соответствии с положениями настоящего Раздела.</w:t>
      </w:r>
      <w:r>
        <w:br/>
      </w:r>
      <w:r>
        <w:rPr>
          <w:rFonts w:ascii="Times New Roman"/>
          <w:b w:val="false"/>
          <w:i w:val="false"/>
          <w:color w:val="000000"/>
          <w:sz w:val="28"/>
        </w:rPr>
        <w:t>
      3. Определения. Термины, начинающиеся с заглавных букв, использованные ниже в настоящем Разделе для описания определенных методов закупок или методов рассмотрения банком определенных контрактов, соответствуют определениям, описанным в Разделах II и III Руководства по закупкам, или в Разделах II, III, IV и V Руководства по найму консультантов, в зависимости от конкретного случая.</w:t>
      </w:r>
    </w:p>
    <w:p>
      <w:pPr>
        <w:spacing w:after="0"/>
        <w:ind w:left="0"/>
        <w:jc w:val="both"/>
      </w:pPr>
      <w:r>
        <w:rPr>
          <w:rFonts w:ascii="Times New Roman"/>
          <w:b w:val="false"/>
          <w:i w:val="false"/>
          <w:color w:val="000000"/>
          <w:sz w:val="28"/>
        </w:rPr>
        <w:t>      </w:t>
      </w:r>
      <w:r>
        <w:rPr>
          <w:rFonts w:ascii="Times New Roman"/>
          <w:b/>
          <w:i w:val="false"/>
          <w:color w:val="000000"/>
          <w:sz w:val="28"/>
        </w:rPr>
        <w:t>B. Специфические методы закупок товаров, работ и неконсультационных услуг</w:t>
      </w:r>
    </w:p>
    <w:p>
      <w:pPr>
        <w:spacing w:after="0"/>
        <w:ind w:left="0"/>
        <w:jc w:val="both"/>
      </w:pPr>
      <w:r>
        <w:rPr>
          <w:rFonts w:ascii="Times New Roman"/>
          <w:b w:val="false"/>
          <w:i w:val="false"/>
          <w:color w:val="000000"/>
          <w:sz w:val="28"/>
        </w:rPr>
        <w:t>      </w:t>
      </w:r>
      <w:r>
        <w:rPr>
          <w:rFonts w:ascii="Times New Roman"/>
          <w:b/>
          <w:i w:val="false"/>
          <w:color w:val="000000"/>
          <w:sz w:val="28"/>
        </w:rPr>
        <w:t>1. Международные конкурсные торги</w:t>
      </w:r>
      <w:r>
        <w:rPr>
          <w:rFonts w:ascii="Times New Roman"/>
          <w:b w:val="false"/>
          <w:i w:val="false"/>
          <w:color w:val="000000"/>
          <w:sz w:val="28"/>
        </w:rPr>
        <w:t xml:space="preserve">. Если иное не предусмотрено в пункте 2 ниже, закупка товаров, работ и неконсультационных услуг осуществляется по контрактам, заключенным в соответствии с процедурами Международных конкурсных торгов. </w:t>
      </w:r>
      <w:r>
        <w:br/>
      </w:r>
      <w:r>
        <w:rPr>
          <w:rFonts w:ascii="Times New Roman"/>
          <w:b w:val="false"/>
          <w:i w:val="false"/>
          <w:color w:val="000000"/>
          <w:sz w:val="28"/>
        </w:rPr>
        <w:t>
      </w:t>
      </w:r>
      <w:r>
        <w:rPr>
          <w:rFonts w:ascii="Times New Roman"/>
          <w:b/>
          <w:i w:val="false"/>
          <w:color w:val="000000"/>
          <w:sz w:val="28"/>
        </w:rPr>
        <w:t xml:space="preserve">2. Прочие методы закупки товаров, работ и неконсультационных услуг </w:t>
      </w:r>
      <w:r>
        <w:br/>
      </w:r>
      <w:r>
        <w:rPr>
          <w:rFonts w:ascii="Times New Roman"/>
          <w:b w:val="false"/>
          <w:i w:val="false"/>
          <w:color w:val="000000"/>
          <w:sz w:val="28"/>
        </w:rPr>
        <w:t xml:space="preserve">
      В таблице ниже представлены методы закупок, кроме Международных конкурсных торгов, которые могут быть использованы для закупки товаров, работ и неконсультационных услуг для контрактов, указанных в Плане закупок с указанием условий, при которых используется тот или иной метод.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3"/>
      </w:tblGrid>
      <w:tr>
        <w:trPr>
          <w:trHeight w:val="30" w:hRule="atLeast"/>
        </w:trPr>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 закупки</w:t>
            </w:r>
          </w:p>
        </w:tc>
      </w:tr>
      <w:tr>
        <w:trPr>
          <w:trHeight w:val="30" w:hRule="atLeast"/>
        </w:trPr>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Национальные конкурсные торги, при условии наличия дополнительных условий, предусмотренных в Дополнении к данному Приложению 2</w:t>
            </w:r>
          </w:p>
        </w:tc>
      </w:tr>
      <w:tr>
        <w:trPr>
          <w:trHeight w:val="30" w:hRule="atLeast"/>
        </w:trPr>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Шопинг</w:t>
            </w:r>
          </w:p>
        </w:tc>
      </w:tr>
      <w:tr>
        <w:trPr>
          <w:trHeight w:val="30" w:hRule="atLeast"/>
        </w:trPr>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Заключение контракта напрямую</w:t>
            </w:r>
          </w:p>
        </w:tc>
      </w:tr>
    </w:tbl>
    <w:p>
      <w:pPr>
        <w:spacing w:after="0"/>
        <w:ind w:left="0"/>
        <w:jc w:val="both"/>
      </w:pPr>
      <w:r>
        <w:rPr>
          <w:rFonts w:ascii="Times New Roman"/>
          <w:b w:val="false"/>
          <w:i w:val="false"/>
          <w:color w:val="000000"/>
          <w:sz w:val="28"/>
        </w:rPr>
        <w:t>      </w:t>
      </w:r>
      <w:r>
        <w:rPr>
          <w:rFonts w:ascii="Times New Roman"/>
          <w:b w:val="false"/>
          <w:i w:val="false"/>
          <w:color w:val="000000"/>
          <w:sz w:val="28"/>
          <w:u w:val="single"/>
        </w:rPr>
        <w:t>C. Специфические методы закупки услуг консультантов</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Отбор на основе качества и стоимости</w:t>
      </w:r>
      <w:r>
        <w:rPr>
          <w:rFonts w:ascii="Times New Roman"/>
          <w:b w:val="false"/>
          <w:i w:val="false"/>
          <w:color w:val="000000"/>
          <w:sz w:val="28"/>
        </w:rPr>
        <w:t>. Если в пункте 2 ниже не предусмотрено иное, закупка консультационных услуг осуществляется в рамках контрактов, присужденных в соответствии с процедурой отбора на основе качества и стоимости.</w:t>
      </w:r>
      <w:r>
        <w:br/>
      </w:r>
      <w:r>
        <w:rPr>
          <w:rFonts w:ascii="Times New Roman"/>
          <w:b w:val="false"/>
          <w:i w:val="false"/>
          <w:color w:val="000000"/>
          <w:sz w:val="28"/>
        </w:rPr>
        <w:t>
      </w:t>
      </w:r>
      <w:r>
        <w:rPr>
          <w:rFonts w:ascii="Times New Roman"/>
          <w:b w:val="false"/>
          <w:i w:val="false"/>
          <w:color w:val="000000"/>
          <w:sz w:val="28"/>
          <w:u w:val="single"/>
        </w:rPr>
        <w:t>3. Прочие методы закупок услуг консультантов</w:t>
      </w:r>
      <w:r>
        <w:rPr>
          <w:rFonts w:ascii="Times New Roman"/>
          <w:b w:val="false"/>
          <w:i w:val="false"/>
          <w:color w:val="000000"/>
          <w:sz w:val="28"/>
        </w:rPr>
        <w:t xml:space="preserve">. В таблице ниже представлены методы закупок, кроме отбора на основе качества и стоимости, которые могут быть использованы при закупке услуг консультантов. В плане закупок отражаются обстоятельства, при которых использовался тот или иной метод.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3"/>
      </w:tblGrid>
      <w:tr>
        <w:trPr>
          <w:trHeight w:val="30" w:hRule="atLeast"/>
        </w:trPr>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 закупки</w:t>
            </w:r>
          </w:p>
        </w:tc>
      </w:tr>
      <w:tr>
        <w:trPr>
          <w:trHeight w:val="30" w:hRule="atLeast"/>
        </w:trPr>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Отбор на основе качества</w:t>
            </w:r>
          </w:p>
        </w:tc>
      </w:tr>
      <w:tr>
        <w:trPr>
          <w:trHeight w:val="30" w:hRule="atLeast"/>
        </w:trPr>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Отбор при фиксированном бюджете</w:t>
            </w:r>
          </w:p>
        </w:tc>
      </w:tr>
      <w:tr>
        <w:trPr>
          <w:trHeight w:val="30" w:hRule="atLeast"/>
        </w:trPr>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Отбор при наименьшей стоимости</w:t>
            </w:r>
          </w:p>
        </w:tc>
      </w:tr>
      <w:tr>
        <w:trPr>
          <w:trHeight w:val="30" w:hRule="atLeast"/>
        </w:trPr>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Отбор на основе квалификации консультантов</w:t>
            </w:r>
          </w:p>
        </w:tc>
      </w:tr>
      <w:tr>
        <w:trPr>
          <w:trHeight w:val="30" w:hRule="atLeast"/>
        </w:trPr>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 Закупки из одного источника</w:t>
            </w:r>
          </w:p>
        </w:tc>
      </w:tr>
      <w:tr>
        <w:trPr>
          <w:trHeight w:val="30" w:hRule="atLeast"/>
        </w:trPr>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 Отбор индивидуальных консультантов </w:t>
            </w:r>
          </w:p>
        </w:tc>
      </w:tr>
    </w:tbl>
    <w:p>
      <w:pPr>
        <w:spacing w:after="0"/>
        <w:ind w:left="0"/>
        <w:jc w:val="both"/>
      </w:pPr>
      <w:r>
        <w:rPr>
          <w:rFonts w:ascii="Times New Roman"/>
          <w:b w:val="false"/>
          <w:i w:val="false"/>
          <w:color w:val="000000"/>
          <w:sz w:val="28"/>
        </w:rPr>
        <w:t>      </w:t>
      </w:r>
      <w:r>
        <w:rPr>
          <w:rFonts w:ascii="Times New Roman"/>
          <w:b/>
          <w:i w:val="false"/>
          <w:color w:val="000000"/>
          <w:sz w:val="28"/>
        </w:rPr>
        <w:t xml:space="preserve">D. </w:t>
      </w:r>
      <w:r>
        <w:rPr>
          <w:rFonts w:ascii="Times New Roman"/>
          <w:b w:val="false"/>
          <w:i w:val="false"/>
          <w:color w:val="000000"/>
          <w:sz w:val="28"/>
          <w:u w:val="single"/>
        </w:rPr>
        <w:t>Рассмотрение Банком решений по закупкам</w:t>
      </w:r>
    </w:p>
    <w:p>
      <w:pPr>
        <w:spacing w:after="0"/>
        <w:ind w:left="0"/>
        <w:jc w:val="both"/>
      </w:pPr>
      <w:r>
        <w:rPr>
          <w:rFonts w:ascii="Times New Roman"/>
          <w:b w:val="false"/>
          <w:i w:val="false"/>
          <w:color w:val="000000"/>
          <w:sz w:val="28"/>
        </w:rPr>
        <w:t>      В плане Закупок указывается перечень контрактов, которые подлежат предварительному рассмотрению Банком. Все прочие контракты являются предметом последующего рассмотрения Банком.</w:t>
      </w:r>
    </w:p>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IV. </w:t>
      </w:r>
      <w:r>
        <w:rPr>
          <w:rFonts w:ascii="Times New Roman"/>
          <w:b w:val="false"/>
          <w:i w:val="false"/>
          <w:color w:val="000000"/>
          <w:sz w:val="28"/>
          <w:u w:val="single"/>
        </w:rPr>
        <w:t>Снятие средств Займа со счета</w:t>
      </w:r>
    </w:p>
    <w:p>
      <w:pPr>
        <w:spacing w:after="0"/>
        <w:ind w:left="0"/>
        <w:jc w:val="both"/>
      </w:pPr>
      <w:r>
        <w:rPr>
          <w:rFonts w:ascii="Times New Roman"/>
          <w:b w:val="false"/>
          <w:i w:val="false"/>
          <w:color w:val="000000"/>
          <w:sz w:val="28"/>
        </w:rPr>
        <w:t>      </w:t>
      </w:r>
      <w:r>
        <w:rPr>
          <w:rFonts w:ascii="Times New Roman"/>
          <w:b/>
          <w:i w:val="false"/>
          <w:color w:val="000000"/>
          <w:sz w:val="28"/>
        </w:rPr>
        <w:t xml:space="preserve">A. Общие положения </w:t>
      </w:r>
    </w:p>
    <w:p>
      <w:pPr>
        <w:spacing w:after="0"/>
        <w:ind w:left="0"/>
        <w:jc w:val="both"/>
      </w:pPr>
      <w:r>
        <w:rPr>
          <w:rFonts w:ascii="Times New Roman"/>
          <w:b w:val="false"/>
          <w:i w:val="false"/>
          <w:color w:val="000000"/>
          <w:sz w:val="28"/>
        </w:rPr>
        <w:t>      1. Заемщик может снимать средства Займа в соответствии с положениями статьи II Общих Условий, данного Раздела и тех дополнительных инструкций, которые укажет Банк в уведомлении Заемщику (включая «Руководство Всемирного банка по освоению средств проектов», датированное маем 2006 года, периодически пересматриваемое Банком и применимое к настоящему Соглашению, согласно таким инструкциям), для финансирования правомочных расходов, согласно таблице пункта 2 ниже.</w:t>
      </w:r>
      <w:r>
        <w:br/>
      </w:r>
      <w:r>
        <w:rPr>
          <w:rFonts w:ascii="Times New Roman"/>
          <w:b w:val="false"/>
          <w:i w:val="false"/>
          <w:color w:val="000000"/>
          <w:sz w:val="28"/>
        </w:rPr>
        <w:t xml:space="preserve">
      3. В таблице ниже определены категории правомочных расходов, которые могут быть профинансированы из средств Займа («Категория»), выделенные суммы Займа по каждой Категории и процентная доля расходов, подлежащая финансированию, как правомочные расходы по каждой Категории.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3"/>
        <w:gridCol w:w="5404"/>
        <w:gridCol w:w="2844"/>
      </w:tblGrid>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Выделенная сумма Займа (в долларовом эквиваленте)</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расходов, подлежащая финансированию (включая налоги) </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Товары, работы, неконсультационные услуги и услуги консультантов по Проекту</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1 068 000 000</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1 068 000 000</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B. Условия снятия; период снятия</w:t>
      </w:r>
    </w:p>
    <w:p>
      <w:pPr>
        <w:spacing w:after="0"/>
        <w:ind w:left="0"/>
        <w:jc w:val="both"/>
      </w:pPr>
      <w:r>
        <w:rPr>
          <w:rFonts w:ascii="Times New Roman"/>
          <w:b w:val="false"/>
          <w:i w:val="false"/>
          <w:color w:val="000000"/>
          <w:sz w:val="28"/>
        </w:rPr>
        <w:t>      1. Независимо от положений Части А данного Раздела, средства не могут сниматься:</w:t>
      </w:r>
      <w:r>
        <w:br/>
      </w:r>
      <w:r>
        <w:rPr>
          <w:rFonts w:ascii="Times New Roman"/>
          <w:b w:val="false"/>
          <w:i w:val="false"/>
          <w:color w:val="000000"/>
          <w:sz w:val="28"/>
        </w:rPr>
        <w:t xml:space="preserve">
      (a) со счета Займа до тех пор, пока Банку не будет выплачена в полном объеме комиссия за резервирование средств займа; либо </w:t>
      </w:r>
      <w:r>
        <w:br/>
      </w:r>
      <w:r>
        <w:rPr>
          <w:rFonts w:ascii="Times New Roman"/>
          <w:b w:val="false"/>
          <w:i w:val="false"/>
          <w:color w:val="000000"/>
          <w:sz w:val="28"/>
        </w:rPr>
        <w:t>
      (b) по платежам, совершенным до даты настоящего Соглашения.</w:t>
      </w:r>
      <w:r>
        <w:br/>
      </w:r>
      <w:r>
        <w:rPr>
          <w:rFonts w:ascii="Times New Roman"/>
          <w:b w:val="false"/>
          <w:i w:val="false"/>
          <w:color w:val="000000"/>
          <w:sz w:val="28"/>
        </w:rPr>
        <w:t>
      2. Дата закрытия - 30 июня 2017 г.</w:t>
      </w:r>
    </w:p>
    <w:p>
      <w:pPr>
        <w:spacing w:after="0"/>
        <w:ind w:left="0"/>
        <w:jc w:val="left"/>
      </w:pPr>
      <w:r>
        <w:rPr>
          <w:rFonts w:ascii="Times New Roman"/>
          <w:b/>
          <w:i w:val="false"/>
          <w:color w:val="000000"/>
        </w:rPr>
        <w:t xml:space="preserve"> Дополнение к ПРИЛОЖЕНИЮ 2</w:t>
      </w:r>
    </w:p>
    <w:p>
      <w:pPr>
        <w:spacing w:after="0"/>
        <w:ind w:left="0"/>
        <w:jc w:val="both"/>
      </w:pPr>
      <w:r>
        <w:rPr>
          <w:rFonts w:ascii="Times New Roman"/>
          <w:b w:val="false"/>
          <w:i w:val="false"/>
          <w:color w:val="000000"/>
          <w:sz w:val="28"/>
        </w:rPr>
        <w:t>      Процедуры проведения национальных конкурсных торгов соответствуют требованиям, изложенным в Законе Республики Казахстан «О государственных закупках» от 13 января 2012 года №543-IV («ЗГЗ»), однако при условии, что такая процедура будет соответствовать положениям Раздела 1 и Параграфов 3.3 и 3.4 «Руководства по закупке товаров, работ и неконсультационных услуг за счет средств займов МБРР и кредитов МАР, а также грантов, предоставляемых заемщикам Всемирного банка» (январь 2011 года) («Руководство по закупке») и следующим дополнительным положениям:</w:t>
      </w:r>
      <w:r>
        <w:br/>
      </w:r>
      <w:r>
        <w:rPr>
          <w:rFonts w:ascii="Times New Roman"/>
          <w:b w:val="false"/>
          <w:i w:val="false"/>
          <w:color w:val="000000"/>
          <w:sz w:val="28"/>
        </w:rPr>
        <w:t xml:space="preserve">
      1. Закупочные учреждения используют типовую конкурсную документацию, приемлемую для Банка, которая готовится с соблюдением принципов экономии, эффективности, прозрачности и общего соответствия положениям Раздела I Руководства по закупкам. </w:t>
      </w:r>
      <w:r>
        <w:br/>
      </w:r>
      <w:r>
        <w:rPr>
          <w:rFonts w:ascii="Times New Roman"/>
          <w:b w:val="false"/>
          <w:i w:val="false"/>
          <w:color w:val="000000"/>
          <w:sz w:val="28"/>
        </w:rPr>
        <w:t xml:space="preserve">
      2. Допуск участников конкурса определяется в соответствии с Разделом I Руководства по закупкам; соответственно, ни один участник или потенциальный участник тендера не может быть признан неправомочным по контрактам, финансируемым Банком, по причинам иным, чем те, которые изложены в Разделе I Руководства по закупкам. </w:t>
      </w:r>
      <w:r>
        <w:br/>
      </w:r>
      <w:r>
        <w:rPr>
          <w:rFonts w:ascii="Times New Roman"/>
          <w:b w:val="false"/>
          <w:i w:val="false"/>
          <w:color w:val="000000"/>
          <w:sz w:val="28"/>
        </w:rPr>
        <w:t xml:space="preserve">
      3. Никаких ограничений относительно правомочности для участия в конкурсных торгах не может быть наложено из-за гражданства участника тендера и/или происхождения товаров, за исключением ограничений, вытекающих из первичных эмбарго. </w:t>
      </w:r>
      <w:r>
        <w:br/>
      </w:r>
      <w:r>
        <w:rPr>
          <w:rFonts w:ascii="Times New Roman"/>
          <w:b w:val="false"/>
          <w:i w:val="false"/>
          <w:color w:val="000000"/>
          <w:sz w:val="28"/>
        </w:rPr>
        <w:t xml:space="preserve">
      4. Иностранные участники могут быть допущены к участию в процедурах государственных конкурсных торгов без каких-либо ограничений. </w:t>
      </w:r>
      <w:r>
        <w:br/>
      </w:r>
      <w:r>
        <w:rPr>
          <w:rFonts w:ascii="Times New Roman"/>
          <w:b w:val="false"/>
          <w:i w:val="false"/>
          <w:color w:val="000000"/>
          <w:sz w:val="28"/>
        </w:rPr>
        <w:t xml:space="preserve">
      5. Отечественные участники и/или товары, произведенные внутри страны, не имеют каких-либо преимуществ. </w:t>
      </w:r>
      <w:r>
        <w:br/>
      </w:r>
      <w:r>
        <w:rPr>
          <w:rFonts w:ascii="Times New Roman"/>
          <w:b w:val="false"/>
          <w:i w:val="false"/>
          <w:color w:val="000000"/>
          <w:sz w:val="28"/>
        </w:rPr>
        <w:t xml:space="preserve">
      6. Участие в конкурсных торгах не может быть открыто только для предварительно зарегистрированных компаний и по отношению к иностранным компаниям-участницам не может выдвигаться требование по регистрации в местных органах в качестве условия предоставления заявок. </w:t>
      </w:r>
      <w:r>
        <w:br/>
      </w:r>
      <w:r>
        <w:rPr>
          <w:rFonts w:ascii="Times New Roman"/>
          <w:b w:val="false"/>
          <w:i w:val="false"/>
          <w:color w:val="000000"/>
          <w:sz w:val="28"/>
        </w:rPr>
        <w:t xml:space="preserve">
      7. Иностранным компаниям не могут выдвигаться требования объединяться с местными партнерами для предоставления заявки как от совместного предприятия, а партнеры, входящие в совместные предприятия, обязаны нести субсидиарную и индивидуальную ответственность за свои обязательства. </w:t>
      </w:r>
      <w:r>
        <w:br/>
      </w:r>
      <w:r>
        <w:rPr>
          <w:rFonts w:ascii="Times New Roman"/>
          <w:b w:val="false"/>
          <w:i w:val="false"/>
          <w:color w:val="000000"/>
          <w:sz w:val="28"/>
        </w:rPr>
        <w:t xml:space="preserve">
      8. Государственные предприятия Казахстана имеют право принимать участие в торгах только в том случае, если они могут подтвердить свою юридическую и финансовую независимость, способность работать в соответствии с законодательством о коммерческой деятельности и то, что они являются независимыми от Заемщика или Субзаемщика. Такие предприятия будут выполнять те же требования по предоставлению гарантии заявки и должного исполнения, что и другие участники тендера. </w:t>
      </w:r>
      <w:r>
        <w:br/>
      </w:r>
      <w:r>
        <w:rPr>
          <w:rFonts w:ascii="Times New Roman"/>
          <w:b w:val="false"/>
          <w:i w:val="false"/>
          <w:color w:val="000000"/>
          <w:sz w:val="28"/>
        </w:rPr>
        <w:t xml:space="preserve">
      9. При условии выполнения данных положений закупки производятся в соответствии с процедурами «Методов произведения конкурсных торгов», установленных «ЗГЗ». </w:t>
      </w:r>
      <w:r>
        <w:br/>
      </w:r>
      <w:r>
        <w:rPr>
          <w:rFonts w:ascii="Times New Roman"/>
          <w:b w:val="false"/>
          <w:i w:val="false"/>
          <w:color w:val="000000"/>
          <w:sz w:val="28"/>
        </w:rPr>
        <w:t>
      10. Смета расходов для целей закупок является конфиденциальной информацией и не подлежит раскрытию потенциальным участникам торгов.</w:t>
      </w:r>
      <w:r>
        <w:br/>
      </w:r>
      <w:r>
        <w:rPr>
          <w:rFonts w:ascii="Times New Roman"/>
          <w:b w:val="false"/>
          <w:i w:val="false"/>
          <w:color w:val="000000"/>
          <w:sz w:val="28"/>
        </w:rPr>
        <w:t xml:space="preserve">
      11. Процедуры предквалификации, приемлемые для Банка, используются для больших, комплексных и/или специализированных проектов. </w:t>
      </w:r>
      <w:r>
        <w:br/>
      </w:r>
      <w:r>
        <w:rPr>
          <w:rFonts w:ascii="Times New Roman"/>
          <w:b w:val="false"/>
          <w:i w:val="false"/>
          <w:color w:val="000000"/>
          <w:sz w:val="28"/>
        </w:rPr>
        <w:t xml:space="preserve">
      12. Участникам торгов предоставляется минимальный срок в тридцать (30) дней с даты приглашения к участию в торгах или даты предоставления доступа к конкурсной документации, в зависимости от того, какая дата позднее, для подготовки и предоставления заявок. </w:t>
      </w:r>
      <w:r>
        <w:br/>
      </w:r>
      <w:r>
        <w:rPr>
          <w:rFonts w:ascii="Times New Roman"/>
          <w:b w:val="false"/>
          <w:i w:val="false"/>
          <w:color w:val="000000"/>
          <w:sz w:val="28"/>
        </w:rPr>
        <w:t xml:space="preserve">
      13. Заявки подлежат предоставлению в одном конверте. </w:t>
      </w:r>
      <w:r>
        <w:br/>
      </w:r>
      <w:r>
        <w:rPr>
          <w:rFonts w:ascii="Times New Roman"/>
          <w:b w:val="false"/>
          <w:i w:val="false"/>
          <w:color w:val="000000"/>
          <w:sz w:val="28"/>
        </w:rPr>
        <w:t xml:space="preserve">
      14. Продление срока действия заявки при наличии достаточного обоснования в виде исключительных обстоятельств может быть потребовано в письменной форме всеми участниками до истечения срока и на минимальный период, необходимый для завершения оценки или присуждения контракта, но не превышающий тридцать (30) дней. Никакие другие продления не могут быть запрошены без предварительного на то согласия Банка. </w:t>
      </w:r>
      <w:r>
        <w:br/>
      </w:r>
      <w:r>
        <w:rPr>
          <w:rFonts w:ascii="Times New Roman"/>
          <w:b w:val="false"/>
          <w:i w:val="false"/>
          <w:color w:val="000000"/>
          <w:sz w:val="28"/>
        </w:rPr>
        <w:t xml:space="preserve">
      15. Заявки вскрываются публично, непосредственно после окончания срока подачи заявок в соответствии с процедурами, установленными в конкурсной документации. На момент вскрытия заявок ни одна заявка не может быть отклонена, за исключением случаев опоздания. </w:t>
      </w:r>
      <w:r>
        <w:br/>
      </w:r>
      <w:r>
        <w:rPr>
          <w:rFonts w:ascii="Times New Roman"/>
          <w:b w:val="false"/>
          <w:i w:val="false"/>
          <w:color w:val="000000"/>
          <w:sz w:val="28"/>
        </w:rPr>
        <w:t xml:space="preserve">
      16. Оценка заявок проводится в строгом соответствии с критериями, указанными в конкурсной документации. Оценка заявок по квалификационным критериям производится по принципу «проходит/не проходит». Критерии оценки, кроме цены, исчисляются в стоимостном выражении. </w:t>
      </w:r>
      <w:r>
        <w:br/>
      </w:r>
      <w:r>
        <w:rPr>
          <w:rFonts w:ascii="Times New Roman"/>
          <w:b w:val="false"/>
          <w:i w:val="false"/>
          <w:color w:val="000000"/>
          <w:sz w:val="28"/>
        </w:rPr>
        <w:t xml:space="preserve">
      17. Заявки, которые по большей части не соответствуют техническим спецификациям, условиям контракта или другим критически важным требованиям конкурсной документации, подлежат отклонению. </w:t>
      </w:r>
      <w:r>
        <w:br/>
      </w:r>
      <w:r>
        <w:rPr>
          <w:rFonts w:ascii="Times New Roman"/>
          <w:b w:val="false"/>
          <w:i w:val="false"/>
          <w:color w:val="000000"/>
          <w:sz w:val="28"/>
        </w:rPr>
        <w:t xml:space="preserve">
      18. Оценка заявок будет являться конфиденциальной процедурой, а заседания тендерного комитета не могут быть открыты для участников торгов и/или их представителей. </w:t>
      </w:r>
      <w:r>
        <w:br/>
      </w:r>
      <w:r>
        <w:rPr>
          <w:rFonts w:ascii="Times New Roman"/>
          <w:b w:val="false"/>
          <w:i w:val="false"/>
          <w:color w:val="000000"/>
          <w:sz w:val="28"/>
        </w:rPr>
        <w:t>
      19. Постквалификационные требования применяются только в отношении контрактов, выполненных в прошлом, а также в отношении финансового и технического потенциала участников конкурса.</w:t>
      </w:r>
      <w:r>
        <w:br/>
      </w:r>
      <w:r>
        <w:rPr>
          <w:rFonts w:ascii="Times New Roman"/>
          <w:b w:val="false"/>
          <w:i w:val="false"/>
          <w:color w:val="000000"/>
          <w:sz w:val="28"/>
        </w:rPr>
        <w:t xml:space="preserve">
      20. Контракт присуждается участнику тендера, представившим заявку, соответствующую требованиям, с самой низкой оцененной стоимостью, который определен, как имеющий достаточные квалификации для выполнения контракта согласно предварительно определенным и раскрытым критериям оценки без проведения переговоров касательно цены или содержания заявки. </w:t>
      </w:r>
      <w:r>
        <w:br/>
      </w:r>
      <w:r>
        <w:rPr>
          <w:rFonts w:ascii="Times New Roman"/>
          <w:b w:val="false"/>
          <w:i w:val="false"/>
          <w:color w:val="000000"/>
          <w:sz w:val="28"/>
        </w:rPr>
        <w:t xml:space="preserve">
      21. Если закупочное учреждение не смогло заключить контракт с участником тендера с самой низкой оцененной стоимостью заявки, контракт может быть присужден следующему по списку участнику, набравшему наибольшее количество баллов после первого и соответствующему основной части требований. </w:t>
      </w:r>
      <w:r>
        <w:br/>
      </w:r>
      <w:r>
        <w:rPr>
          <w:rFonts w:ascii="Times New Roman"/>
          <w:b w:val="false"/>
          <w:i w:val="false"/>
          <w:color w:val="000000"/>
          <w:sz w:val="28"/>
        </w:rPr>
        <w:t xml:space="preserve">
      22. Ни одна заявка (или единственная заявка, если была получена только одна заявка) не может быть отклонена, процесс закупок не может быть аннулирован и новые заявки не могут быть запрошены без предварительного на то согласия Банка. </w:t>
      </w:r>
      <w:r>
        <w:br/>
      </w:r>
      <w:r>
        <w:rPr>
          <w:rFonts w:ascii="Times New Roman"/>
          <w:b w:val="false"/>
          <w:i w:val="false"/>
          <w:color w:val="000000"/>
          <w:sz w:val="28"/>
        </w:rPr>
        <w:t xml:space="preserve">
      23. Участникам предоставляется минимальный срок в двадцать восемь (28) дней с момента получения уведомления о присуждении контракта на предоставление гарантий исполнения контракта. </w:t>
      </w:r>
      <w:r>
        <w:br/>
      </w:r>
      <w:r>
        <w:rPr>
          <w:rFonts w:ascii="Times New Roman"/>
          <w:b w:val="false"/>
          <w:i w:val="false"/>
          <w:color w:val="000000"/>
          <w:sz w:val="28"/>
        </w:rPr>
        <w:t xml:space="preserve">
      24. Каждый пакет конкурсной документации и каждый контракт, финансируемый за счет средств Займа, содержит положение о политике Банка в отношении санкций, применяемых к фирмам и физическим лицам, замешанным в мошенничестве и коррупции, как определено в Руководстве по закупкам. Банк вправе применить санкции к компании или физическому лицу в любое время в соответствии с действующими процедурами Банка о санкциях, включая такие меры, как публичное объявление такой компании или физического лица неправомочными в течение определенного или неопределенного периода времени: (а) получать финансируемые Банком контракты; и (б) быть назначенными субподрядчиком, консультантом, производителем или поставщиком, а также провайдером услуг для другой правомочной компании, которой был присужден финансируемый Банком контракт. </w:t>
      </w:r>
      <w:r>
        <w:br/>
      </w:r>
      <w:r>
        <w:rPr>
          <w:rFonts w:ascii="Times New Roman"/>
          <w:b w:val="false"/>
          <w:i w:val="false"/>
          <w:color w:val="000000"/>
          <w:sz w:val="28"/>
        </w:rPr>
        <w:t xml:space="preserve">
      25. В соответствии с Руководством по закупкам каждый пакет конкурсной документации и каждый контракт, финансируемый за счет средств Займа, содержит положению о том, что участники торгов, поставщики и подрядчики, а также их субподрядчики, агенты, сотрудники, консультанты, провайдеры услуг или поставщики разрешают Банку проверять свои счета, учетную и другую документацию, относящуюся к подаче конкурсных заявок и исполнению контрактов, а также проводить их аудит, назначенным Банком. Действия, направленные на создание существенных трудностей для Банка при проведении проверок и аудита, предусмотренных в Руководстве по закупкам, являются обструкцией согласно определению Руководства по закупкам. </w:t>
      </w:r>
      <w:r>
        <w:br/>
      </w:r>
      <w:r>
        <w:rPr>
          <w:rFonts w:ascii="Times New Roman"/>
          <w:b w:val="false"/>
          <w:i w:val="false"/>
          <w:color w:val="000000"/>
          <w:sz w:val="28"/>
        </w:rPr>
        <w:t xml:space="preserve">
      26. Жалобы, касающиеся процесса закупок, рассматриваются в соответствии с положениями Руководства о закупках. </w:t>
      </w:r>
    </w:p>
    <w:p>
      <w:pPr>
        <w:spacing w:after="0"/>
        <w:ind w:left="0"/>
        <w:jc w:val="both"/>
      </w:pPr>
      <w:r>
        <w:rPr>
          <w:rFonts w:ascii="Times New Roman"/>
          <w:b w:val="false"/>
          <w:i w:val="false"/>
          <w:color w:val="000000"/>
          <w:sz w:val="28"/>
        </w:rPr>
        <w:t xml:space="preserve">      E. </w:t>
      </w:r>
      <w:r>
        <w:rPr>
          <w:rFonts w:ascii="Times New Roman"/>
          <w:b w:val="false"/>
          <w:i w:val="false"/>
          <w:color w:val="000000"/>
          <w:sz w:val="28"/>
          <w:u w:val="single"/>
        </w:rPr>
        <w:t>Аннулирование тендерной процедуры</w:t>
      </w:r>
    </w:p>
    <w:p>
      <w:pPr>
        <w:spacing w:after="0"/>
        <w:ind w:left="0"/>
        <w:jc w:val="both"/>
      </w:pPr>
      <w:r>
        <w:rPr>
          <w:rFonts w:ascii="Times New Roman"/>
          <w:b w:val="false"/>
          <w:i w:val="false"/>
          <w:color w:val="000000"/>
          <w:sz w:val="28"/>
        </w:rPr>
        <w:t>      Признание тендера несостоявшимся и проведение нового тендера возможно только с предварительного согласия Банка.</w:t>
      </w:r>
    </w:p>
    <w:p>
      <w:pPr>
        <w:spacing w:after="0"/>
        <w:ind w:left="0"/>
        <w:jc w:val="both"/>
      </w:pPr>
      <w:r>
        <w:rPr>
          <w:rFonts w:ascii="Times New Roman"/>
          <w:b w:val="false"/>
          <w:i w:val="false"/>
          <w:color w:val="000000"/>
          <w:sz w:val="28"/>
        </w:rPr>
        <w:t xml:space="preserve">      F. </w:t>
      </w:r>
      <w:r>
        <w:rPr>
          <w:rFonts w:ascii="Times New Roman"/>
          <w:b w:val="false"/>
          <w:i w:val="false"/>
          <w:color w:val="000000"/>
          <w:sz w:val="28"/>
          <w:u w:val="single"/>
        </w:rPr>
        <w:t>Отклонение отдельных заявок</w:t>
      </w:r>
    </w:p>
    <w:p>
      <w:pPr>
        <w:spacing w:after="0"/>
        <w:ind w:left="0"/>
        <w:jc w:val="both"/>
      </w:pPr>
      <w:r>
        <w:rPr>
          <w:rFonts w:ascii="Times New Roman"/>
          <w:b w:val="false"/>
          <w:i w:val="false"/>
          <w:color w:val="000000"/>
          <w:sz w:val="28"/>
        </w:rPr>
        <w:t>      Отдельные заявки могут быть отклонены только в следующих случаях, когда:</w:t>
      </w:r>
      <w:r>
        <w:br/>
      </w:r>
      <w:r>
        <w:rPr>
          <w:rFonts w:ascii="Times New Roman"/>
          <w:b w:val="false"/>
          <w:i w:val="false"/>
          <w:color w:val="000000"/>
          <w:sz w:val="28"/>
        </w:rPr>
        <w:t>
      (a) участник не имеет соответствующих квалификаций;</w:t>
      </w:r>
      <w:r>
        <w:br/>
      </w:r>
      <w:r>
        <w:rPr>
          <w:rFonts w:ascii="Times New Roman"/>
          <w:b w:val="false"/>
          <w:i w:val="false"/>
          <w:color w:val="000000"/>
          <w:sz w:val="28"/>
        </w:rPr>
        <w:t>
      (b) участник не соглашается с исправлениями арифметических ошибок в своей заявке, обнаруженных тендерной комиссией закупочного учреждения; и</w:t>
      </w:r>
      <w:r>
        <w:br/>
      </w:r>
      <w:r>
        <w:rPr>
          <w:rFonts w:ascii="Times New Roman"/>
          <w:b w:val="false"/>
          <w:i w:val="false"/>
          <w:color w:val="000000"/>
          <w:sz w:val="28"/>
        </w:rPr>
        <w:t>
      (c) участник не отвечает требованиям тендерных документов.</w:t>
      </w:r>
    </w:p>
    <w:p>
      <w:pPr>
        <w:spacing w:after="0"/>
        <w:ind w:left="0"/>
        <w:jc w:val="left"/>
      </w:pPr>
      <w:r>
        <w:rPr>
          <w:rFonts w:ascii="Times New Roman"/>
          <w:b/>
          <w:i w:val="false"/>
          <w:color w:val="000000"/>
        </w:rPr>
        <w:t xml:space="preserve"> ПРИЛОЖЕНИЕ 3 График Погашения </w:t>
      </w:r>
    </w:p>
    <w:p>
      <w:pPr>
        <w:spacing w:after="0"/>
        <w:ind w:left="0"/>
        <w:jc w:val="both"/>
      </w:pPr>
      <w:r>
        <w:rPr>
          <w:rFonts w:ascii="Times New Roman"/>
          <w:b w:val="false"/>
          <w:i w:val="false"/>
          <w:color w:val="000000"/>
          <w:sz w:val="28"/>
        </w:rPr>
        <w:t xml:space="preserve">      1. В следующей таблице указаны даты погашения основного долга и доля в процентах от общей основной суммы Займа, подлежащая погашению на каждую дату погашения основного долга («Доля погашения»). Если средства Займа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Банком путем умножения: (a) суммы Займа, снятой на первую дату погашения основного долга, и (б) доли погашения платежа на каждую дату погашения основного долга. Данная сумма, подлежащая выплате, будет корректироваться по мере необходимости, с целью вычета сумм, предусмотренных в пункте 4 настоящего Приложения, и к которым применяется конверсия валюты.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6"/>
        <w:gridCol w:w="4835"/>
      </w:tblGrid>
      <w:tr>
        <w:trPr>
          <w:trHeight w:val="30" w:hRule="atLeast"/>
        </w:trPr>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выплаты основной суммы Займа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Очередной взнос (в процентах)</w:t>
            </w:r>
          </w:p>
        </w:tc>
      </w:tr>
      <w:tr>
        <w:trPr>
          <w:trHeight w:val="30" w:hRule="atLeast"/>
        </w:trPr>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Ежегодно 15 февраля и 15 августа </w:t>
            </w:r>
          </w:p>
          <w:p>
            <w:pPr>
              <w:spacing w:after="20"/>
              <w:ind w:left="20"/>
              <w:jc w:val="both"/>
            </w:pPr>
            <w:r>
              <w:rPr>
                <w:rFonts w:ascii="Times New Roman"/>
                <w:b w:val="false"/>
                <w:i w:val="false"/>
                <w:color w:val="000000"/>
                <w:sz w:val="20"/>
              </w:rPr>
              <w:t xml:space="preserve">начиная с 15 августа 2017 г. до 15 августа 2030 г.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w:t>
            </w:r>
          </w:p>
        </w:tc>
      </w:tr>
      <w:tr>
        <w:trPr>
          <w:trHeight w:val="30" w:hRule="atLeast"/>
        </w:trPr>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2031 г.</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w:t>
            </w:r>
          </w:p>
        </w:tc>
      </w:tr>
    </w:tbl>
    <w:p>
      <w:pPr>
        <w:spacing w:after="0"/>
        <w:ind w:left="0"/>
        <w:jc w:val="both"/>
      </w:pPr>
      <w:r>
        <w:rPr>
          <w:rFonts w:ascii="Times New Roman"/>
          <w:b w:val="false"/>
          <w:i w:val="false"/>
          <w:color w:val="000000"/>
          <w:sz w:val="28"/>
        </w:rPr>
        <w:t>      2. Если средства Займа не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следующим образом:</w:t>
      </w:r>
      <w:r>
        <w:br/>
      </w:r>
      <w:r>
        <w:rPr>
          <w:rFonts w:ascii="Times New Roman"/>
          <w:b w:val="false"/>
          <w:i w:val="false"/>
          <w:color w:val="000000"/>
          <w:sz w:val="28"/>
        </w:rPr>
        <w:t xml:space="preserve">
      а) В той мере, в которой любые средства Займа были сняты на первую дату погашения основного долга, Заемщик погасит сумму Займа, снятую на такую дату, в соответствии с пунктом 1 данного Приложения. </w:t>
      </w:r>
      <w:r>
        <w:br/>
      </w:r>
      <w:r>
        <w:rPr>
          <w:rFonts w:ascii="Times New Roman"/>
          <w:b w:val="false"/>
          <w:i w:val="false"/>
          <w:color w:val="000000"/>
          <w:sz w:val="28"/>
        </w:rPr>
        <w:t>
      b) Любые суммы, снятые после первой даты погашения основного долга, погашаются на каждую дату погашения основного долга после даты такого снятия в суммах, определенных Банком путем умножения суммы каждого такого снятия на дробь, числителем которой является первоначальная сумма доли погашения, указанная в таблице пункта 1 данного Приложения для этой даты погашения основного долга («Первоначальная сумма доли погашения платежа»), а знаменателем которой является сумма всех оставшихся первоначальных сумм доли погашения платежей на даты погашения основного долга на такую дату или после нее. Данная сумма, подлежащая выплате, будет корректироваться по мере необходимости с целью вычета сумм, предусмотренных в пункте 4 настоящего Приложения, и к которым применяется конверсия валюты.</w:t>
      </w:r>
      <w:r>
        <w:br/>
      </w:r>
      <w:r>
        <w:rPr>
          <w:rFonts w:ascii="Times New Roman"/>
          <w:b w:val="false"/>
          <w:i w:val="false"/>
          <w:color w:val="000000"/>
          <w:sz w:val="28"/>
        </w:rPr>
        <w:t>
      3. (a) Суммы Займа, снятые в течение двух календарных месяцев до любой даты погашения основного долга исключительно для целей расчета сумм основного долга, подлежащих выплате на любую дату погашения основного долга, будут считаться снятыми и непогашенными на вторую дату погашения основного долга после даты снятия и будут подлежать погашению на каждую дату погашения основного долга, начиная со второй даты погашения основного долга после даты снятия.</w:t>
      </w:r>
      <w:r>
        <w:br/>
      </w:r>
      <w:r>
        <w:rPr>
          <w:rFonts w:ascii="Times New Roman"/>
          <w:b w:val="false"/>
          <w:i w:val="false"/>
          <w:color w:val="000000"/>
          <w:sz w:val="28"/>
        </w:rPr>
        <w:t xml:space="preserve">
      b) Несмотря на положения подпункта (a) данного пункта, если в любое время Банк примет систему выставления счетов по срокам платежей, при которой счета выписываются на соответствующую дату погашения основного долга или после нее, положения этого подпункта не будут применяться к таким снятиям, совершенным после принятия такой системы выставления счетов. </w:t>
      </w:r>
      <w:r>
        <w:br/>
      </w:r>
      <w:r>
        <w:rPr>
          <w:rFonts w:ascii="Times New Roman"/>
          <w:b w:val="false"/>
          <w:i w:val="false"/>
          <w:color w:val="000000"/>
          <w:sz w:val="28"/>
        </w:rPr>
        <w:t>
      4. Несмотря на положения пунктов 1 и 2 настоящего Приложения, при конверсии валюты всей или любой части займа на одобренную валюту сумма, конвертированная таким образом на одобренную валюту, которая подлежит погашению на любую дату погашения основного долга, наступающую в течение периода конверсии, будет определена Банком путем умножения такой суммы в валюте ее деноминации непосредственно перед конвертацией на: (i) обменный курс, который отражает суммы основного долга в одобренной валюте, подлежащие выплате Банком в рамках валютных хеджевых сделок, относящихся к конверсии; или (ii) валютный компонент экранной ставки, если Банк примет такое решение в соответствии с Руководством по конверсии.</w:t>
      </w:r>
      <w:r>
        <w:br/>
      </w:r>
      <w:r>
        <w:rPr>
          <w:rFonts w:ascii="Times New Roman"/>
          <w:b w:val="false"/>
          <w:i w:val="false"/>
          <w:color w:val="000000"/>
          <w:sz w:val="28"/>
        </w:rPr>
        <w:t>
      5. В случае, если заем номинирован в более, чем одной Валюте займа, положения данного графика применяются отдельно к суммам в каждой из валют займа, а также для расчета отдельных графиков погашения для каждой из сумм.</w:t>
      </w:r>
    </w:p>
    <w:p>
      <w:pPr>
        <w:spacing w:after="0"/>
        <w:ind w:left="0"/>
        <w:jc w:val="left"/>
      </w:pPr>
      <w:r>
        <w:rPr>
          <w:rFonts w:ascii="Times New Roman"/>
          <w:b/>
          <w:i w:val="false"/>
          <w:color w:val="000000"/>
        </w:rPr>
        <w:t xml:space="preserve"> ДОПОЛНЕНИЕ</w:t>
      </w:r>
    </w:p>
    <w:p>
      <w:pPr>
        <w:spacing w:after="0"/>
        <w:ind w:left="0"/>
        <w:jc w:val="both"/>
      </w:pPr>
      <w:r>
        <w:rPr>
          <w:rFonts w:ascii="Times New Roman"/>
          <w:b w:val="false"/>
          <w:i w:val="false"/>
          <w:color w:val="000000"/>
          <w:sz w:val="28"/>
        </w:rPr>
        <w:t>      </w:t>
      </w:r>
      <w:r>
        <w:rPr>
          <w:rFonts w:ascii="Times New Roman"/>
          <w:b/>
          <w:i w:val="false"/>
          <w:color w:val="000000"/>
          <w:sz w:val="28"/>
        </w:rPr>
        <w:t>Раздел I. Определения</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«Руководство по противодействию коррупции» означает «Руководство по профилактике и борьбе с мошенничеством и коррупцией в проектах, финансируемых из средств займов МБРР и кредитов и грантов МАР» от 15 октября 2006 года и их обновления в январе 2011 г. </w:t>
      </w:r>
      <w:r>
        <w:br/>
      </w:r>
      <w:r>
        <w:rPr>
          <w:rFonts w:ascii="Times New Roman"/>
          <w:b w:val="false"/>
          <w:i w:val="false"/>
          <w:color w:val="000000"/>
          <w:sz w:val="28"/>
        </w:rPr>
        <w:t>
      2. «Категория» означает категорию, описанную в таблице в Разделе IV Приложения 4 к настоящему Соглашению.</w:t>
      </w:r>
      <w:r>
        <w:br/>
      </w:r>
      <w:r>
        <w:rPr>
          <w:rFonts w:ascii="Times New Roman"/>
          <w:b w:val="false"/>
          <w:i w:val="false"/>
          <w:color w:val="000000"/>
          <w:sz w:val="28"/>
        </w:rPr>
        <w:t>
      3. «Комитет автомобильных дорог» или «КАД» означает ведомство по управлению автомобильными дорогами в составе МТК, созданное 1 января 2008 года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 1193 «О некоторых вопросах Министерства транспорта и коммуникаций Республики Казахстан» от 6 декабря 2007 года, и отвечающее за текущую реализацию Проекта, в том числе все его правопреемники или правопреемник.</w:t>
      </w:r>
      <w:r>
        <w:br/>
      </w:r>
      <w:r>
        <w:rPr>
          <w:rFonts w:ascii="Times New Roman"/>
          <w:b w:val="false"/>
          <w:i w:val="false"/>
          <w:color w:val="000000"/>
          <w:sz w:val="28"/>
        </w:rPr>
        <w:t xml:space="preserve">
      4. «Руководство по выбору консультанта» означает «Руководство: Отбор и наем консультантов в рамках займов МБРР и кредитов и грантов МАР», выпущенное в январе 2011 года. </w:t>
      </w:r>
      <w:r>
        <w:br/>
      </w:r>
      <w:r>
        <w:rPr>
          <w:rFonts w:ascii="Times New Roman"/>
          <w:b w:val="false"/>
          <w:i w:val="false"/>
          <w:color w:val="000000"/>
          <w:sz w:val="28"/>
        </w:rPr>
        <w:t>
      5. «Оценка воздействия на окружающую среду» или «ОВОС» означает окончательный отчет о воздействии на окружающую среду, подготовленный и опубликованный Заемщиком 13 декабря 2011 года, согласованный Банком, который содержит, среди прочего: (1) подробное описание объектов, на территории которых будут реализовываться мероприятия Проекта; (2) потенциальное и фактическое негативное экологическое и социальное воздействие мероприятий, описанных в пункте (1) выше; и (3) процедуры разработки ПООС для объектов с указанием мер, выполняемых в ходе реализации и эксплуатации Проекта, направленные на смягчение, устранение или иную компенсацию негативного экологического воздействия в рамках Проекта.</w:t>
      </w:r>
      <w:r>
        <w:br/>
      </w:r>
      <w:r>
        <w:rPr>
          <w:rFonts w:ascii="Times New Roman"/>
          <w:b w:val="false"/>
          <w:i w:val="false"/>
          <w:color w:val="000000"/>
          <w:sz w:val="28"/>
        </w:rPr>
        <w:t>
      6. «Планы охраны окружающей среды» или «ПООС» означают документы, разработанные для объектов, принятые Заемщиком и согласованные Банком в соответствии с ОВОС и в соответствии с пунктом 1 Раздела I. Приложения 2 к данному Соглашению в отношении работ, подлежащих выполнению Заемщиком в рамках Проекта, и подробно определяющие мероприятия по управлению возможными экологическими рисками и смягчению, уменьшению и/или предотвращению негативных экологических последствий, связанных с выполнением работ по Проекту, а также соответствующие институциональные меры, и меры по осуществлению контроля и отчетности, позволяющие обеспечить должное исполнение и постоянную обратную связь в отношении соответствия его условиям, которые могут периодически изменяться и дополняться с предварительного письменного утверждения Банком, и «ПООС» означает один из таких ПООС.</w:t>
      </w:r>
      <w:r>
        <w:br/>
      </w:r>
      <w:r>
        <w:rPr>
          <w:rFonts w:ascii="Times New Roman"/>
          <w:b w:val="false"/>
          <w:i w:val="false"/>
          <w:color w:val="000000"/>
          <w:sz w:val="28"/>
        </w:rPr>
        <w:t>
      7. «Форма Хартии качества» - документ, разработанный и принятый Заемщиком через МТК, а также удовлетворяющий Банк, устанавливающий стандарты и процедуры пилотной схемы эксплуатации и содержания в соответствии с Компонентом 2 (а) Проекта и являющийся основой для разработки каждой Хартии качества.</w:t>
      </w:r>
      <w:r>
        <w:br/>
      </w:r>
      <w:r>
        <w:rPr>
          <w:rFonts w:ascii="Times New Roman"/>
          <w:b w:val="false"/>
          <w:i w:val="false"/>
          <w:color w:val="000000"/>
          <w:sz w:val="28"/>
        </w:rPr>
        <w:t>
      8. «Рамочные мероприятия» - документ, подписанный 27 декабря 2010 года МТК, в котором подробно описана стратегия реализации институциональных реформ, финансируемых из средств ПРАДВЗ с уточнениями в дальнейшем.</w:t>
      </w:r>
      <w:r>
        <w:br/>
      </w:r>
      <w:r>
        <w:rPr>
          <w:rFonts w:ascii="Times New Roman"/>
          <w:b w:val="false"/>
          <w:i w:val="false"/>
          <w:color w:val="000000"/>
          <w:sz w:val="28"/>
        </w:rPr>
        <w:t>
      9. «План мероприятий РППК» означает план мероприятий по Руководству проектом и противодействую коррупции, удовлетворяющий требования Банка, принятый Заемщиком через МТК 16 марта 2009 года, с уточнениями от 28 марта 2012 года, направленный на усиление контроля финансового управления и обеспечение прозрачности и безупречности процедур закупок по Проекту.</w:t>
      </w:r>
      <w:r>
        <w:br/>
      </w:r>
      <w:r>
        <w:rPr>
          <w:rFonts w:ascii="Times New Roman"/>
          <w:b w:val="false"/>
          <w:i w:val="false"/>
          <w:color w:val="000000"/>
          <w:sz w:val="28"/>
        </w:rPr>
        <w:t>
      10. «Общие Условия» означает «Общие Условия Международного Банка Реконструкции и Развития по предоставлению Займов» от 12 марта 2012 года.</w:t>
      </w:r>
      <w:r>
        <w:br/>
      </w:r>
      <w:r>
        <w:rPr>
          <w:rFonts w:ascii="Times New Roman"/>
          <w:b w:val="false"/>
          <w:i w:val="false"/>
          <w:color w:val="000000"/>
          <w:sz w:val="28"/>
        </w:rPr>
        <w:t>
      11. «МТК» означает Министерство транспорта и коммуникаций Заемщика и любого его правопреемника или правопреемников.</w:t>
      </w:r>
      <w:r>
        <w:br/>
      </w:r>
      <w:r>
        <w:rPr>
          <w:rFonts w:ascii="Times New Roman"/>
          <w:b w:val="false"/>
          <w:i w:val="false"/>
          <w:color w:val="000000"/>
          <w:sz w:val="28"/>
        </w:rPr>
        <w:t>
      12. «Группа управления автодорогами» означает группу штатных сотрудников, сформированную Заемщиком в составе Комитета автомобильных дорог для управления сетями 4-х полосных автодорог.</w:t>
      </w:r>
      <w:r>
        <w:br/>
      </w:r>
      <w:r>
        <w:rPr>
          <w:rFonts w:ascii="Times New Roman"/>
          <w:b w:val="false"/>
          <w:i w:val="false"/>
          <w:color w:val="000000"/>
          <w:sz w:val="28"/>
        </w:rPr>
        <w:t>
      13. «Руководство по закупкам» означает «Руководство: закупки товаров, работ и неконсультационных услуг в рамках займов МБРР и кредитов MAP, а также грантов Всемирного банка Заемщиками», принятые в январе 2011 года.</w:t>
      </w:r>
      <w:r>
        <w:br/>
      </w:r>
      <w:r>
        <w:rPr>
          <w:rFonts w:ascii="Times New Roman"/>
          <w:b w:val="false"/>
          <w:i w:val="false"/>
          <w:color w:val="000000"/>
          <w:sz w:val="28"/>
        </w:rPr>
        <w:t>
      14. «План закупок» означает план закупок Заемщика для Проекта от 26 марта 2012 года, на который делается ссылка в параграфе 1.18 Руководства по закупкам и в параграфе 1.25 Руководства по выбору консультанта, который периодически обновляется в соответствии с положениями указанных параграфов.</w:t>
      </w:r>
      <w:r>
        <w:br/>
      </w:r>
      <w:r>
        <w:rPr>
          <w:rFonts w:ascii="Times New Roman"/>
          <w:b w:val="false"/>
          <w:i w:val="false"/>
          <w:color w:val="000000"/>
          <w:sz w:val="28"/>
        </w:rPr>
        <w:t>
      15. «Проектная территория» означает участок Автодорожного коридора между Алматы и Хоргосом на территории Алматинской области.</w:t>
      </w:r>
      <w:r>
        <w:br/>
      </w:r>
      <w:r>
        <w:rPr>
          <w:rFonts w:ascii="Times New Roman"/>
          <w:b w:val="false"/>
          <w:i w:val="false"/>
          <w:color w:val="000000"/>
          <w:sz w:val="28"/>
        </w:rPr>
        <w:t>
      16. «Руководство по реализации Проекта» означает документ, принятый Заемщиком через МТК и согласованный Банком, в котором указаны операционные и административные обязанности, процедуры и правила для реализации Проекта, в том числе пособие по финансовым процедурам, соответствующее положениям настоящего Соглашения и государственным законам и регламентам Заемщика, которые могут изменяться и дополняться время от времени при предварительном их согласовании с Банком.</w:t>
      </w:r>
      <w:r>
        <w:br/>
      </w:r>
      <w:r>
        <w:rPr>
          <w:rFonts w:ascii="Times New Roman"/>
          <w:b w:val="false"/>
          <w:i w:val="false"/>
          <w:color w:val="000000"/>
          <w:sz w:val="28"/>
        </w:rPr>
        <w:t xml:space="preserve">
      17. «Хартия качества» - это документ, удовлетворительный для Банка, который будет разработан на основе формы Хартии качества и принят МТК в целях обеспечения удовлетворительного оказания КВД высококачественных услуг по эксплуатации и содержанию конкретного участка ПРАДВЗ автодорожного коридора в рамках схемы пилотной эксплуатации и содержания Компонента 2 (a) Проекта, включая как минимум (i) качество услуг, которые будут предоставляться пользователям автодороги (доступ к дороге; содействие экономическому и социальному развитию; безопасность дорожного движения; максимальная эффективность в плане плавности движения, зон обслуживания, работы экстренных служб и т.д.; предоставление информации о состоянии сети автодорог; и улучшение состояния окружающей среды вдоль дороги); и (ii) способы снижения выявленных рисков для персонала дорожных служб, включая определение потребностей в обучении и т.д. </w:t>
      </w:r>
      <w:r>
        <w:br/>
      </w:r>
      <w:r>
        <w:rPr>
          <w:rFonts w:ascii="Times New Roman"/>
          <w:b w:val="false"/>
          <w:i w:val="false"/>
          <w:color w:val="000000"/>
          <w:sz w:val="28"/>
        </w:rPr>
        <w:t>
      18. «Планы мероприятий по переселению» или «ПМП» означают документы, разработанные для конкретных объектов, в том числе любые сокращенные планы переселения, принятые Заемщиком в соответствии с пунктом 3 (b) Раздела I. Приложения 2 к настоящему Соглашению, и согласованные с Банком, содержащие, помимо прочего, программу мероприятий, меры и политики предоставления компенсаций и переселения лиц, в том числе механизмы компенсации и переселения, бюджет и смету затрат, а также источники финансирования, наряду с адекватными институциональными механизмами и механизмами мониторинга и отчетности, направленные на обеспечение должной реализации и регулярной оценки соблюдения условий этих документов на каждом объекте; и «План мероприятий по переселению» или «ПМП» означает один из таких планов.</w:t>
      </w:r>
      <w:r>
        <w:br/>
      </w:r>
      <w:r>
        <w:rPr>
          <w:rFonts w:ascii="Times New Roman"/>
          <w:b w:val="false"/>
          <w:i w:val="false"/>
          <w:color w:val="000000"/>
          <w:sz w:val="28"/>
        </w:rPr>
        <w:t>
      19. «Отчет о реализации мер по переселению» или «ОРП» означает документ, удовлетворяющий Банк, подготовленный и принятый КАД от имени Заемщика 29 марта 2012 года, и опубликованный Заемщиком _________________ г. на сайте Infoshop Банка ____________ г., содержащий (1) анализ стандартов и методов, использованных Заемщиком при выкупе земель на территории Проекта до даты настоящего Соглашения; (2) анализ пробелов с выявлением мер, которые могут быть приняты для того, чтобы привести произведенный выкуп земель в соответствие с РПП, в том числе план адекватных средств разрешения всех нерешенных дел; и (3) перечень всех мероприятий, которые необходимы, чтобы заполнить пробелы, выявленные в рамках пункта (2) данного абзаца, чтобы привести процесс выкупа земель в соответствие с требованиями политики переселения Банка.</w:t>
      </w:r>
      <w:r>
        <w:br/>
      </w:r>
      <w:r>
        <w:rPr>
          <w:rFonts w:ascii="Times New Roman"/>
          <w:b w:val="false"/>
          <w:i w:val="false"/>
          <w:color w:val="000000"/>
          <w:sz w:val="28"/>
        </w:rPr>
        <w:t>
      20. «Рамочная политика переселения» или «РПП» означает документ, подготовленный и согласованный Заемщиком и опубликованный 1 мая 2008 года с уточнениями, повторно опубликованный Заемщиком 18 марта 2009 года и на сайте Infoshop 25 марта 2009 года, в котором определены процедуры переселения, институциональные механизмы, критерии правомочности, права и компенсации, в том числе процедуры оценки, проведения общественных слушаний и участия в них, мониторинга и оценки, а также критерии обнародования, которые применяются при разработке Плана мероприятий по переселению.</w:t>
      </w:r>
      <w:r>
        <w:br/>
      </w:r>
      <w:r>
        <w:rPr>
          <w:rFonts w:ascii="Times New Roman"/>
          <w:b w:val="false"/>
          <w:i w:val="false"/>
          <w:color w:val="000000"/>
          <w:sz w:val="28"/>
        </w:rPr>
        <w:t>
      21. «Советник по реформированию автодорожного сектора» или «СРАДС» означает штатного советника Министра Транспорта и коммуникаций, отвечающего за проведение институциональной реформы и мероприятия по управлению.</w:t>
      </w:r>
      <w:r>
        <w:br/>
      </w:r>
      <w:r>
        <w:rPr>
          <w:rFonts w:ascii="Times New Roman"/>
          <w:b w:val="false"/>
          <w:i w:val="false"/>
          <w:color w:val="000000"/>
          <w:sz w:val="28"/>
        </w:rPr>
        <w:t>
      22. «Группа Советника по реформированию автодорожного сектора» или «Группа СРАДС» означает группу, организованную МТК, которая отвечает за консультирование МТК по вопросам реформирования автодорожного сектора и координацию дорожных реформ. Она включает СРАДС, международного консультанта, специализирующегося на проведении мероприятий реформирования автодорожного сектора, и высших должностных лиц МТК.</w:t>
      </w:r>
      <w:r>
        <w:br/>
      </w:r>
      <w:r>
        <w:rPr>
          <w:rFonts w:ascii="Times New Roman"/>
          <w:b w:val="false"/>
          <w:i w:val="false"/>
          <w:color w:val="000000"/>
          <w:sz w:val="28"/>
        </w:rPr>
        <w:t>
      23 «Проект реконструкции автодороги Юг – Запад» или «ПРАЮЗ» означает проект, по которому финансирование предоставлено Банком в рамках Соглашения о займе № 7681KZ от 13 июня 2009 года между Банком и Заемщиком.</w:t>
      </w:r>
      <w:r>
        <w:br/>
      </w:r>
      <w:r>
        <w:rPr>
          <w:rFonts w:ascii="Times New Roman"/>
          <w:b w:val="false"/>
          <w:i w:val="false"/>
          <w:color w:val="000000"/>
          <w:sz w:val="28"/>
        </w:rPr>
        <w:t>
      24. «Автодорожный коридор Западная Европа – Западный Китай» или «Автодорожный коридор» означает автодорожный коридор, который пересекает всю страну Заемщика от границы с Российской Федерацией на северо-западе, проходит через города Актобе, Кызылорда, Шымкент, Тараз, Алматы и Хоргос на границе с Китайской Народной Республикой на юго-востоке.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