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54e3" w14:textId="e365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августа 2012 года № 1073.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осуществляют проверку кодов справок на соответствие кодам ЕБК РК,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республиканского бюджета или в республиканский бюджет.";</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устанавливаемом </w:t>
      </w:r>
      <w:r>
        <w:rPr>
          <w:rFonts w:ascii="Times New Roman"/>
          <w:b w:val="false"/>
          <w:i w:val="false"/>
          <w:color w:val="000000"/>
          <w:sz w:val="28"/>
        </w:rPr>
        <w:t>главой 5</w:t>
      </w:r>
      <w:r>
        <w:rPr>
          <w:rFonts w:ascii="Times New Roman"/>
          <w:b w:val="false"/>
          <w:i w:val="false"/>
          <w:color w:val="000000"/>
          <w:sz w:val="28"/>
        </w:rPr>
        <w:t xml:space="preserve"> и абзацем 9 </w:t>
      </w:r>
      <w:r>
        <w:rPr>
          <w:rFonts w:ascii="Times New Roman"/>
          <w:b w:val="false"/>
          <w:i w:val="false"/>
          <w:color w:val="000000"/>
          <w:sz w:val="28"/>
        </w:rPr>
        <w:t>пункта 26</w:t>
      </w:r>
      <w:r>
        <w:rPr>
          <w:rFonts w:ascii="Times New Roman"/>
          <w:b w:val="false"/>
          <w:i w:val="false"/>
          <w:color w:val="000000"/>
          <w:sz w:val="28"/>
        </w:rPr>
        <w:t xml:space="preserve"> главы 4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xml:space="preserve">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их подведомственных им государственных учреждений;"; </w:t>
      </w:r>
      <w:r>
        <w:br/>
      </w:r>
      <w:r>
        <w:rPr>
          <w:rFonts w:ascii="Times New Roman"/>
          <w:b w:val="false"/>
          <w:i w:val="false"/>
          <w:color w:val="000000"/>
          <w:sz w:val="28"/>
        </w:rPr>
        <w:t>
</w:t>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главы 16 изложить в следующей редакции:</w:t>
      </w:r>
      <w:r>
        <w:br/>
      </w:r>
      <w:r>
        <w:rPr>
          <w:rFonts w:ascii="Times New Roman"/>
          <w:b w:val="false"/>
          <w:i w:val="false"/>
          <w:color w:val="000000"/>
          <w:sz w:val="28"/>
        </w:rPr>
        <w:t>
      "Глава 16. Порядок и сроки перечисления бюджетных изъятий, целевых трансфертов из нижестоящих бюджетов в вышестоящий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платежам нижестоящего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частьями третьей и четвертой следующего содержания:</w:t>
      </w:r>
      <w:r>
        <w:br/>
      </w: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территориальное подразделение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r>
        <w:br/>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территориальным подразделением казначейства.";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"156.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w:t>
      </w:r>
      <w:r>
        <w:br/>
      </w:r>
      <w:r>
        <w:rPr>
          <w:rFonts w:ascii="Times New Roman"/>
          <w:b w:val="false"/>
          <w:i w:val="false"/>
          <w:color w:val="000000"/>
          <w:sz w:val="28"/>
        </w:rPr>
        <w:t>
      131 "Приобретение продуктов питания";</w:t>
      </w:r>
      <w:r>
        <w:br/>
      </w:r>
      <w:r>
        <w:rPr>
          <w:rFonts w:ascii="Times New Roman"/>
          <w:b w:val="false"/>
          <w:i w:val="false"/>
          <w:color w:val="000000"/>
          <w:sz w:val="28"/>
        </w:rPr>
        <w:t>
      132 "Приобретение медикаментов и прочих средств медицинского назначения";</w:t>
      </w:r>
      <w:r>
        <w:br/>
      </w:r>
      <w:r>
        <w:rPr>
          <w:rFonts w:ascii="Times New Roman"/>
          <w:b w:val="false"/>
          <w:i w:val="false"/>
          <w:color w:val="000000"/>
          <w:sz w:val="28"/>
        </w:rPr>
        <w:t>
      135 "Приобретение особого оборудования и материалов".";</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413 "Материально-техническое оснащение государственных предприятий" не более 30 процентов от суммы, предусмотренной на текущий финансовый год на эти цели.";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157-2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r>
        <w:br/>
      </w:r>
      <w:r>
        <w:rPr>
          <w:rFonts w:ascii="Times New Roman"/>
          <w:b w:val="false"/>
          <w:i w:val="false"/>
          <w:color w:val="000000"/>
          <w:sz w:val="28"/>
        </w:rPr>
        <w:t>
</w:t>
      </w:r>
      <w:r>
        <w:rPr>
          <w:rFonts w:ascii="Times New Roman"/>
          <w:b w:val="false"/>
          <w:i w:val="false"/>
          <w:color w:val="000000"/>
          <w:sz w:val="28"/>
        </w:rPr>
        <w:t>
      абзац третий части первой  </w:t>
      </w:r>
      <w:r>
        <w:rPr>
          <w:rFonts w:ascii="Times New Roman"/>
          <w:b w:val="false"/>
          <w:i w:val="false"/>
          <w:color w:val="000000"/>
          <w:sz w:val="28"/>
        </w:rPr>
        <w:t>пункта 422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"приказа центрального исполнительного органа, осуществляющего руководство в области архитектуры, градостроительства и строительства, жилищно-коммунального хозяйства об утверждении заключения государственной экспертизы к проектной (проектно-сметной) документации в случае превышения сметной стоимости 1300000 (один миллион триста тысяч) месячных расчетных показателей и выше в текущих ценах;".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