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52f8" w14:textId="df85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 августа 2012 года № 1016. Утратило силу постановлением Правительства Республики Казахстан от 10 ноября 2014 года № 1182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10.11.2014 </w:t>
      </w:r>
      <w:r>
        <w:rPr>
          <w:rFonts w:ascii="Times New Roman"/>
          <w:b w:val="false"/>
          <w:i w:val="false"/>
          <w:color w:val="ff0000"/>
          <w:sz w:val="28"/>
        </w:rPr>
        <w:t>№ 1182</w:t>
      </w:r>
      <w:r>
        <w:rPr>
          <w:rFonts w:ascii="Times New Roman"/>
          <w:b w:val="false"/>
          <w:i w:val="false"/>
          <w:color w:val="ff0000"/>
          <w:sz w:val="28"/>
        </w:rPr>
        <w:t xml:space="preserve"> (вводится в действие с 01.01.2017).</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8"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августа 2012 года № 1016</w:t>
      </w:r>
    </w:p>
    <w:bookmarkEnd w:id="1"/>
    <w:bookmarkStart w:name="z12" w:id="2"/>
    <w:p>
      <w:pPr>
        <w:spacing w:after="0"/>
        <w:ind w:left="0"/>
        <w:jc w:val="left"/>
      </w:pPr>
      <w:r>
        <w:rPr>
          <w:rFonts w:ascii="Times New Roman"/>
          <w:b/>
          <w:i w:val="false"/>
          <w:color w:val="000000"/>
        </w:rPr>
        <w:t xml:space="preserve"> 
Изменения и дополнения, которые вносятся в некоторые решения</w:t>
      </w:r>
      <w:r>
        <w:br/>
      </w:r>
      <w:r>
        <w:rPr>
          <w:rFonts w:ascii="Times New Roman"/>
          <w:b/>
          <w:i w:val="false"/>
          <w:color w:val="000000"/>
        </w:rPr>
        <w:t>
Правительства Республики Казахстан</w:t>
      </w:r>
    </w:p>
    <w:bookmarkEnd w:id="2"/>
    <w:bookmarkStart w:name="z14" w:id="3"/>
    <w:p>
      <w:pPr>
        <w:spacing w:after="0"/>
        <w:ind w:left="0"/>
        <w:jc w:val="both"/>
      </w:pP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марта 2011 года № 225 «Об утверждении Программы посткризисного восстановления (оздоровление конкурентоспособных предприятий)»: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Программе</w:t>
      </w:r>
      <w:r>
        <w:rPr>
          <w:rFonts w:ascii="Times New Roman"/>
          <w:b w:val="false"/>
          <w:i w:val="false"/>
          <w:color w:val="000000"/>
          <w:sz w:val="28"/>
        </w:rPr>
        <w:t xml:space="preserve"> посткризисного восстановления (оздоровление конкурентоспособных предприятий),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по всему тексту слова «план оздоровления», «План оздоровления», «планы реабилитации (оздоровления)», «планом оздоровления», «плана оздоровления», «планов оздоровлений», «плане оздоровления» заменить соответственно словами «план реабилитации (оздоровления)», «План реабилитации (оздоровления)», «планы реабилитации (оздоровления)», «планом реабилитации (оздоровления)», «плана реабилитации (оздоровления)», «планов реабилитаций (оздоровлений)», «плане реабилитации (оздоровления)»;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2</w:t>
      </w:r>
      <w:r>
        <w:rPr>
          <w:rFonts w:ascii="Times New Roman"/>
          <w:b w:val="false"/>
          <w:i w:val="false"/>
          <w:color w:val="000000"/>
          <w:sz w:val="28"/>
        </w:rPr>
        <w:t xml:space="preserve"> «Введение»:</w:t>
      </w:r>
      <w:r>
        <w:br/>
      </w:r>
      <w:r>
        <w:rPr>
          <w:rFonts w:ascii="Times New Roman"/>
          <w:b w:val="false"/>
          <w:i w:val="false"/>
          <w:color w:val="000000"/>
          <w:sz w:val="28"/>
        </w:rPr>
        <w:t>
</w:t>
      </w:r>
      <w:r>
        <w:rPr>
          <w:rFonts w:ascii="Times New Roman"/>
          <w:b w:val="false"/>
          <w:i w:val="false"/>
          <w:color w:val="000000"/>
          <w:sz w:val="28"/>
        </w:rPr>
        <w:t>
      в части двадцать второй:</w:t>
      </w:r>
      <w:r>
        <w:br/>
      </w:r>
      <w:r>
        <w:rPr>
          <w:rFonts w:ascii="Times New Roman"/>
          <w:b w:val="false"/>
          <w:i w:val="false"/>
          <w:color w:val="000000"/>
          <w:sz w:val="28"/>
        </w:rPr>
        <w:t>
</w:t>
      </w:r>
      <w:r>
        <w:rPr>
          <w:rFonts w:ascii="Times New Roman"/>
          <w:b w:val="false"/>
          <w:i w:val="false"/>
          <w:color w:val="000000"/>
          <w:sz w:val="28"/>
        </w:rPr>
        <w:t>
      абзацы третий и четвертый изложить в следующей редакции:</w:t>
      </w:r>
      <w:r>
        <w:br/>
      </w:r>
      <w:r>
        <w:rPr>
          <w:rFonts w:ascii="Times New Roman"/>
          <w:b w:val="false"/>
          <w:i w:val="false"/>
          <w:color w:val="000000"/>
          <w:sz w:val="28"/>
        </w:rPr>
        <w:t>
      «Отраслевые органы - Министерство экономического развития и торговли Республики Казахстан, Министерство индустрии и новых технологий Республики Казахстан, Министерство сельского хозяйства Республики Казахстан, Министерство транспорта и коммуникаций Республики Казахстан, Министерство образования и науки Республики Казахстан, Министерство здравоохранения Республики Казахстан, Министерство культуры и информации Республики Казахстан, Агентство Республики Казахстан по делам строительства и жилищно-коммунального хозяйства, Агентство Республики Казахстан по делам спорта и физической культуры и другие.</w:t>
      </w:r>
      <w:r>
        <w:br/>
      </w:r>
      <w:r>
        <w:rPr>
          <w:rFonts w:ascii="Times New Roman"/>
          <w:b w:val="false"/>
          <w:i w:val="false"/>
          <w:color w:val="000000"/>
          <w:sz w:val="28"/>
        </w:rPr>
        <w:t>
      План реабилитации (оздоровления) - комплекс взаимосвязанных мероприятий, направленных на оздоровление должника при применении реабилитационной процедуры, ускоренной реабилитационной процедуры и осуществляемых на основе взаимного согласия между должником и кредиторами, группой однородных кредиторов в целях восстановления платежеспособности действующего предприятия и сохранения рабочих мест с указанием сроков реализации, включая график погашения требований кредиторов, а также достигаемых результатов, используемых ресурсов и возможных рисков.»;</w:t>
      </w:r>
      <w:r>
        <w:br/>
      </w:r>
      <w:r>
        <w:rPr>
          <w:rFonts w:ascii="Times New Roman"/>
          <w:b w:val="false"/>
          <w:i w:val="false"/>
          <w:color w:val="000000"/>
          <w:sz w:val="28"/>
        </w:rPr>
        <w:t>
</w:t>
      </w:r>
      <w:r>
        <w:rPr>
          <w:rFonts w:ascii="Times New Roman"/>
          <w:b w:val="false"/>
          <w:i w:val="false"/>
          <w:color w:val="000000"/>
          <w:sz w:val="28"/>
        </w:rPr>
        <w:t>
      абзац восемнадцатый изложить в следующей редакции:</w:t>
      </w:r>
      <w:r>
        <w:br/>
      </w:r>
      <w:r>
        <w:rPr>
          <w:rFonts w:ascii="Times New Roman"/>
          <w:b w:val="false"/>
          <w:i w:val="false"/>
          <w:color w:val="000000"/>
          <w:sz w:val="28"/>
        </w:rPr>
        <w:t>
      «Консалтинговые компании по мониторингу - компании, привлекаемые Уполномоченным органом в соответствии с законодательством о государственных закупках для осуществления мониторинга реализации планов реабилитаций (оздоровлений) участников.»;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4</w:t>
      </w:r>
      <w:r>
        <w:rPr>
          <w:rFonts w:ascii="Times New Roman"/>
          <w:b w:val="false"/>
          <w:i w:val="false"/>
          <w:color w:val="000000"/>
          <w:sz w:val="28"/>
        </w:rPr>
        <w:t xml:space="preserve"> «Цель, задачи, целевые индикаторы и показатели результатов реализации Программы»: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«Показатели результатов реализации Программы»:</w:t>
      </w:r>
      <w:r>
        <w:br/>
      </w:r>
      <w:r>
        <w:rPr>
          <w:rFonts w:ascii="Times New Roman"/>
          <w:b w:val="false"/>
          <w:i w:val="false"/>
          <w:color w:val="000000"/>
          <w:sz w:val="28"/>
        </w:rPr>
        <w:t>
</w:t>
      </w:r>
      <w:r>
        <w:rPr>
          <w:rFonts w:ascii="Times New Roman"/>
          <w:b w:val="false"/>
          <w:i w:val="false"/>
          <w:color w:val="000000"/>
          <w:sz w:val="28"/>
        </w:rPr>
        <w:t>
      абзацы четвертый, восьмой и девятый </w:t>
      </w:r>
      <w:r>
        <w:rPr>
          <w:rFonts w:ascii="Times New Roman"/>
          <w:b w:val="false"/>
          <w:i w:val="false"/>
          <w:color w:val="000000"/>
          <w:sz w:val="28"/>
        </w:rPr>
        <w:t>пункта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шестую, седьмую и восьмую изложить в следующей редакции:</w:t>
      </w:r>
      <w:r>
        <w:br/>
      </w:r>
      <w:r>
        <w:rPr>
          <w:rFonts w:ascii="Times New Roman"/>
          <w:b w:val="false"/>
          <w:i w:val="false"/>
          <w:color w:val="000000"/>
          <w:sz w:val="28"/>
        </w:rPr>
        <w:t>
      «В случае принятия положительного решения на участие предприятия в Программе, кредиторами формируется Комитет кредиторов. В случае, если имеется кредитор, права требований которого составляют 85 и более процентов от суммы задолженности, комитет кредиторов может не создаваться и решение принимается таким кредитором.</w:t>
      </w:r>
      <w:r>
        <w:br/>
      </w:r>
      <w:r>
        <w:rPr>
          <w:rFonts w:ascii="Times New Roman"/>
          <w:b w:val="false"/>
          <w:i w:val="false"/>
          <w:color w:val="000000"/>
          <w:sz w:val="28"/>
        </w:rPr>
        <w:t>
      Согласие кредиторов на участие предприятия в Программе оформляется решением Комитета кредиторов. Кредиторы, участвующие в комитете кредиторов, обладают числом голосов, пропорциональным размеру требований к общей сумме требований кредиторов, участвующих в комитете кредиторов. Подлежащие применению за неисполнение или ненадлежащее исполнение обязательства неустойки (штрафы, пеня), проценты за просрочку платежа, убытки в виде упущенной выгоды, а также иные имущественные и (или) финансовые санкции для целей определения числа голосов на комитете кредиторов не учитываются.</w:t>
      </w:r>
      <w:r>
        <w:br/>
      </w:r>
      <w:r>
        <w:rPr>
          <w:rFonts w:ascii="Times New Roman"/>
          <w:b w:val="false"/>
          <w:i w:val="false"/>
          <w:color w:val="000000"/>
          <w:sz w:val="28"/>
        </w:rPr>
        <w:t>
      В случае несогласования кредиторами возможности участия предприятия в отборе участников </w:t>
      </w:r>
      <w:r>
        <w:rPr>
          <w:rFonts w:ascii="Times New Roman"/>
          <w:b w:val="false"/>
          <w:i w:val="false"/>
          <w:color w:val="000000"/>
          <w:sz w:val="28"/>
        </w:rPr>
        <w:t>Программы</w:t>
      </w:r>
      <w:r>
        <w:rPr>
          <w:rFonts w:ascii="Times New Roman"/>
          <w:b w:val="false"/>
          <w:i w:val="false"/>
          <w:color w:val="000000"/>
          <w:sz w:val="28"/>
        </w:rPr>
        <w:t>, предприятие может обратиться в суд для введения судебной реабилитационной процедуры в соответствии с законодательством о банкротстве.»;</w:t>
      </w:r>
      <w:r>
        <w:br/>
      </w:r>
      <w:r>
        <w:rPr>
          <w:rFonts w:ascii="Times New Roman"/>
          <w:b w:val="false"/>
          <w:i w:val="false"/>
          <w:color w:val="000000"/>
          <w:sz w:val="28"/>
        </w:rPr>
        <w:t>
</w:t>
      </w:r>
      <w:r>
        <w:rPr>
          <w:rFonts w:ascii="Times New Roman"/>
          <w:b w:val="false"/>
          <w:i w:val="false"/>
          <w:color w:val="000000"/>
          <w:sz w:val="28"/>
        </w:rPr>
        <w:t>
      часть одиннадцатую изложить в следующей редакции:</w:t>
      </w:r>
      <w:r>
        <w:br/>
      </w:r>
      <w:r>
        <w:rPr>
          <w:rFonts w:ascii="Times New Roman"/>
          <w:b w:val="false"/>
          <w:i w:val="false"/>
          <w:color w:val="000000"/>
          <w:sz w:val="28"/>
        </w:rPr>
        <w:t>
      «Прием заявлений потенциальных участников осуществляется до 1 января 2013 года. В случае, если в Программе участвует несколько предприятий, соответствующих требованиям Программы и входящих в холдинг, документы на получение экспертного заключения и участие могут подаваться от управляющей ими компании.»;</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План реабилитации (оздоровления) разрабатывается консультантом или потенциальным участником совместно с основным кредитором и утверждается Комитетом кредиторов в срок, не превышающий 6 месяцев, соответственно со дня заключения договора на разработку плана реабилитации (оздоровления) или допуска к участию во втором этапе, который включает в себя:</w:t>
      </w:r>
      <w:r>
        <w:br/>
      </w:r>
      <w:r>
        <w:rPr>
          <w:rFonts w:ascii="Times New Roman"/>
          <w:b w:val="false"/>
          <w:i w:val="false"/>
          <w:color w:val="000000"/>
          <w:sz w:val="28"/>
        </w:rPr>
        <w:t>
      описание текущего финансового состояния предприятия и причин, вследствие которых оно сложилось;</w:t>
      </w:r>
      <w:r>
        <w:br/>
      </w:r>
      <w:r>
        <w:rPr>
          <w:rFonts w:ascii="Times New Roman"/>
          <w:b w:val="false"/>
          <w:i w:val="false"/>
          <w:color w:val="000000"/>
          <w:sz w:val="28"/>
        </w:rPr>
        <w:t>
      меры оздоровления, принимаемые кредиторами предприятия и собственниками;</w:t>
      </w:r>
      <w:r>
        <w:br/>
      </w:r>
      <w:r>
        <w:rPr>
          <w:rFonts w:ascii="Times New Roman"/>
          <w:b w:val="false"/>
          <w:i w:val="false"/>
          <w:color w:val="000000"/>
          <w:sz w:val="28"/>
        </w:rPr>
        <w:t>
      необходимые прогнозируемые меры государственной поддержки (объем, сроки, график и другие);</w:t>
      </w:r>
      <w:r>
        <w:br/>
      </w:r>
      <w:r>
        <w:rPr>
          <w:rFonts w:ascii="Times New Roman"/>
          <w:b w:val="false"/>
          <w:i w:val="false"/>
          <w:color w:val="000000"/>
          <w:sz w:val="28"/>
        </w:rPr>
        <w:t>
      график погашения задолженности кредиторов, составленный на основе планируемых финансово-экономических показателей;</w:t>
      </w:r>
      <w:r>
        <w:br/>
      </w:r>
      <w:r>
        <w:rPr>
          <w:rFonts w:ascii="Times New Roman"/>
          <w:b w:val="false"/>
          <w:i w:val="false"/>
          <w:color w:val="000000"/>
          <w:sz w:val="28"/>
        </w:rPr>
        <w:t>
      сведения о наличии аффилиированных лиц в числе кредиторов потенциального участника;</w:t>
      </w:r>
      <w:r>
        <w:br/>
      </w:r>
      <w:r>
        <w:rPr>
          <w:rFonts w:ascii="Times New Roman"/>
          <w:b w:val="false"/>
          <w:i w:val="false"/>
          <w:color w:val="000000"/>
          <w:sz w:val="28"/>
        </w:rPr>
        <w:t>
      прогноз финансово-экономических и производственных показателей деятельности;</w:t>
      </w:r>
      <w:r>
        <w:br/>
      </w:r>
      <w:r>
        <w:rPr>
          <w:rFonts w:ascii="Times New Roman"/>
          <w:b w:val="false"/>
          <w:i w:val="false"/>
          <w:color w:val="000000"/>
          <w:sz w:val="28"/>
        </w:rPr>
        <w:t>
      ожидаемый результат;</w:t>
      </w:r>
      <w:r>
        <w:br/>
      </w:r>
      <w:r>
        <w:rPr>
          <w:rFonts w:ascii="Times New Roman"/>
          <w:b w:val="false"/>
          <w:i w:val="false"/>
          <w:color w:val="000000"/>
          <w:sz w:val="28"/>
        </w:rPr>
        <w:t>
      ожидаемые риски;</w:t>
      </w:r>
      <w:r>
        <w:br/>
      </w:r>
      <w:r>
        <w:rPr>
          <w:rFonts w:ascii="Times New Roman"/>
          <w:b w:val="false"/>
          <w:i w:val="false"/>
          <w:color w:val="000000"/>
          <w:sz w:val="28"/>
        </w:rPr>
        <w:t>
      финансово-экономическую модель (документ в формате MS Excel, содержащий прогноз основных форматов финансовой отчетности (бюджет доходов и расходов, бюджет движения денег, бюджет балансового листа) с обязательной детализацией включенных в них данных с приложением функциональных бюджетов (например: инвестиции, бюджет маркетинга, план по труду, бюджет налогов и другие).»;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Разработанный план реабилитации (оздоровления) утверждается Комитетом кредиторов потенциального участника.</w:t>
      </w:r>
      <w:r>
        <w:br/>
      </w:r>
      <w:r>
        <w:rPr>
          <w:rFonts w:ascii="Times New Roman"/>
          <w:b w:val="false"/>
          <w:i w:val="false"/>
          <w:color w:val="000000"/>
          <w:sz w:val="28"/>
        </w:rPr>
        <w:t>
      В случае непредставления плана реабилитации (оздоровления), утвержденного Комитетом кредиторов, в установленный срок, Совет по оздоровлению принимает решение об отклонении предприятия от участия в Программе. Рабочий орган Совета по оздоровлению или комитет кредиторов потенциального участника принимают меры по взысканию бюджетных средств, направленных на софинансирование оплаты стоимости услуг консультанта, а также могут инициировать процедуру банкротства.</w:t>
      </w:r>
      <w:r>
        <w:br/>
      </w:r>
      <w:r>
        <w:rPr>
          <w:rFonts w:ascii="Times New Roman"/>
          <w:b w:val="false"/>
          <w:i w:val="false"/>
          <w:color w:val="000000"/>
          <w:sz w:val="28"/>
        </w:rPr>
        <w:t>
      В случае признания предприятия банкротом, бюджетные средства, направленные на софинансирование оплаты стоимости услуг консультанта, подлежат взысканию в Республиканский бюджет в порядке, установленном законодательством о банкротстве.»;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Рабочий орган Совета по оздоровлению в течение 10 рабочих дней со дня поступления плана реабилитации (оздоровления):</w:t>
      </w:r>
      <w:r>
        <w:br/>
      </w:r>
      <w:r>
        <w:rPr>
          <w:rFonts w:ascii="Times New Roman"/>
          <w:b w:val="false"/>
          <w:i w:val="false"/>
          <w:color w:val="000000"/>
          <w:sz w:val="28"/>
        </w:rPr>
        <w:t>
      осуществляет сбор информации о сложившейся «платежной истории» потенциального участника по платежам в бюджет;</w:t>
      </w:r>
      <w:r>
        <w:br/>
      </w:r>
      <w:r>
        <w:rPr>
          <w:rFonts w:ascii="Times New Roman"/>
          <w:b w:val="false"/>
          <w:i w:val="false"/>
          <w:color w:val="000000"/>
          <w:sz w:val="28"/>
        </w:rPr>
        <w:t>
      анализирует план реабилитации (оздоровления) в части оценки паритетности мер поддержки со стороны собственника, кредиторов и государства и его эффективности.</w:t>
      </w:r>
      <w:r>
        <w:br/>
      </w:r>
      <w:r>
        <w:rPr>
          <w:rFonts w:ascii="Times New Roman"/>
          <w:b w:val="false"/>
          <w:i w:val="false"/>
          <w:color w:val="000000"/>
          <w:sz w:val="28"/>
        </w:rPr>
        <w:t>
      Анализ плана реабилитации (оздоровления) в части оценки паритетности мер поддержки со стороны собственника, кредиторов и государства и его эффективности осуществляется в соответствии с методикой, разработанной на основе использования расчета чистой приведенной стоимости поддержки сторон и утвержденной уполномоченным органом.</w:t>
      </w:r>
      <w:r>
        <w:br/>
      </w:r>
      <w:r>
        <w:rPr>
          <w:rFonts w:ascii="Times New Roman"/>
          <w:b w:val="false"/>
          <w:i w:val="false"/>
          <w:color w:val="000000"/>
          <w:sz w:val="28"/>
        </w:rPr>
        <w:t>
      Под эффективностью плана реабилитации (оздоровления) понимаются:</w:t>
      </w:r>
      <w:r>
        <w:br/>
      </w:r>
      <w:r>
        <w:rPr>
          <w:rFonts w:ascii="Times New Roman"/>
          <w:b w:val="false"/>
          <w:i w:val="false"/>
          <w:color w:val="000000"/>
          <w:sz w:val="28"/>
        </w:rPr>
        <w:t>
      бюджетная эффективность плана оздоровления;</w:t>
      </w:r>
      <w:r>
        <w:br/>
      </w:r>
      <w:r>
        <w:rPr>
          <w:rFonts w:ascii="Times New Roman"/>
          <w:b w:val="false"/>
          <w:i w:val="false"/>
          <w:color w:val="000000"/>
          <w:sz w:val="28"/>
        </w:rPr>
        <w:t>
      социальная эффективность плана оздоровления (максимально возможное сохранение рабочих мест);</w:t>
      </w:r>
      <w:r>
        <w:br/>
      </w:r>
      <w:r>
        <w:rPr>
          <w:rFonts w:ascii="Times New Roman"/>
          <w:b w:val="false"/>
          <w:i w:val="false"/>
          <w:color w:val="000000"/>
          <w:sz w:val="28"/>
        </w:rPr>
        <w:t>
      восстановление платежеспособности предприятия, способности в дальнейшем не допускать финансовой неустойчивости и своевременно исполнить свои обязательства перед кредиторами.»;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Совет по оздоровлению рассматривает досье потенциального участника Программы в течение 15 рабочих дней со дня внесения его Рабочим органом и принимает решение, которое подлежит размещению в течение 15 рабочих дней на интернет-ресурсах Рабочего органа Совета по оздоровлению.</w:t>
      </w:r>
      <w:r>
        <w:br/>
      </w:r>
      <w:r>
        <w:rPr>
          <w:rFonts w:ascii="Times New Roman"/>
          <w:b w:val="false"/>
          <w:i w:val="false"/>
          <w:color w:val="000000"/>
          <w:sz w:val="28"/>
        </w:rPr>
        <w:t>
      9) По потенциальному участнику, получившему отрицательное заключение Совета по оздоровлению, Рабочий орган Совета по оздоровлению или комитет кредиторов потенциального участника принимают меры по взысканию бюджетных средств, направленных на софинансирование оплаты стоимости услуг консультанта, а также могут инициировать процедуру банкротства.</w:t>
      </w:r>
      <w:r>
        <w:br/>
      </w:r>
      <w:r>
        <w:rPr>
          <w:rFonts w:ascii="Times New Roman"/>
          <w:b w:val="false"/>
          <w:i w:val="false"/>
          <w:color w:val="000000"/>
          <w:sz w:val="28"/>
        </w:rPr>
        <w:t>
      В случае признания предприятия банкротом, бюджетные средства, направленные на софинансирование оплаты стоимости услуг консультанта, подлежат взысканию в Республиканский бюджет в порядке, установленном законодательством о банкротстве.</w:t>
      </w:r>
      <w:r>
        <w:br/>
      </w:r>
      <w:r>
        <w:rPr>
          <w:rFonts w:ascii="Times New Roman"/>
          <w:b w:val="false"/>
          <w:i w:val="false"/>
          <w:color w:val="000000"/>
          <w:sz w:val="28"/>
        </w:rPr>
        <w:t>
      По итогам второго этапа потенциальный участник получает статус участника»;</w:t>
      </w:r>
      <w:r>
        <w:br/>
      </w:r>
      <w:r>
        <w:rPr>
          <w:rFonts w:ascii="Times New Roman"/>
          <w:b w:val="false"/>
          <w:i w:val="false"/>
          <w:color w:val="000000"/>
          <w:sz w:val="28"/>
        </w:rPr>
        <w:t>
</w:t>
      </w:r>
      <w:r>
        <w:rPr>
          <w:rFonts w:ascii="Times New Roman"/>
          <w:b w:val="false"/>
          <w:i w:val="false"/>
          <w:color w:val="000000"/>
          <w:sz w:val="28"/>
        </w:rPr>
        <w:t>
      дополнить подпунктом 10) следующего содержания:</w:t>
      </w:r>
      <w:r>
        <w:br/>
      </w:r>
      <w:r>
        <w:rPr>
          <w:rFonts w:ascii="Times New Roman"/>
          <w:b w:val="false"/>
          <w:i w:val="false"/>
          <w:color w:val="000000"/>
          <w:sz w:val="28"/>
        </w:rPr>
        <w:t>
      «10) Участники Программы по решению Комитета кредиторов могут внести изменения и (или) дополнения в план реабилитации (оздоровления), при этом изменения и (или) дополнения в план реабилитации (оздоровления) не могут предусматривать уменьшение объемов мер поддержки со стороны кредиторов и собственников.</w:t>
      </w:r>
      <w:r>
        <w:br/>
      </w:r>
      <w:r>
        <w:rPr>
          <w:rFonts w:ascii="Times New Roman"/>
          <w:b w:val="false"/>
          <w:i w:val="false"/>
          <w:color w:val="000000"/>
          <w:sz w:val="28"/>
        </w:rPr>
        <w:t>
      Измененный и (или) дополненный план реабилитации (оздоровления) представляется в Рабочий орган Совета по оздоровлению с приложением копии решения Комитета кредиторов об утверждении соответствующих изменений и (или) дополнений для последующего рассмотрения и одобрения его на Совете по оздоровлению.</w:t>
      </w:r>
      <w:r>
        <w:br/>
      </w:r>
      <w:r>
        <w:rPr>
          <w:rFonts w:ascii="Times New Roman"/>
          <w:b w:val="false"/>
          <w:i w:val="false"/>
          <w:color w:val="000000"/>
          <w:sz w:val="28"/>
        </w:rPr>
        <w:t>
      Кредиторы и собственники участника Программы могут оказать дополнительные меры поддержки без внесения изменений и (или) дополнений в план реабилитации (оздоровления), в случае, если меры поддержки со стороны государства не увеличиваются.»;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четвертую, пятую, шестую и седьмую изложить в следующей редакции:</w:t>
      </w:r>
      <w:r>
        <w:br/>
      </w:r>
      <w:r>
        <w:rPr>
          <w:rFonts w:ascii="Times New Roman"/>
          <w:b w:val="false"/>
          <w:i w:val="false"/>
          <w:color w:val="000000"/>
          <w:sz w:val="28"/>
        </w:rPr>
        <w:t>
      «Предприятие направляет в суд заявление о введении ускоренной реабилитационной процедуры, предусматривающей мораторий на подачу исков кредиторов о признании предприятия банкротом, с приложением копии решения Комитета кредиторов о согласии на участие предприятия в Программе и решения Совета по оздоровлению (кроме предприятий, в отношении которых применена судебная процедура реабилитации).</w:t>
      </w:r>
      <w:r>
        <w:br/>
      </w:r>
      <w:r>
        <w:rPr>
          <w:rFonts w:ascii="Times New Roman"/>
          <w:b w:val="false"/>
          <w:i w:val="false"/>
          <w:color w:val="000000"/>
          <w:sz w:val="28"/>
        </w:rPr>
        <w:t>
      После получения решения суда о введении ускоренной реабилитационной процедуры, предусматривающей мораторий на подачу исков кредиторов о признании предприятия банкротом, и его представления в Рабочий орган Совета по оздоровлению, меры государственной поддержки денежного характера в соответствии с законодательством Республики Казахстан фиксируются и оформляются в соглашениях, заключаемых между уполномоченным органом, участником Программы, собственником (собственниками), оператором по субсидированию и кредиторами.</w:t>
      </w:r>
      <w:r>
        <w:br/>
      </w:r>
      <w:r>
        <w:rPr>
          <w:rFonts w:ascii="Times New Roman"/>
          <w:b w:val="false"/>
          <w:i w:val="false"/>
          <w:color w:val="000000"/>
          <w:sz w:val="28"/>
        </w:rPr>
        <w:t>
      В случае непредставления решения суда о введении ускоренной реабилитационной процедуры, предусматривающей мораторий на подачу исков кредиторов о признании предприятия банкротом, меры государственной поддержки не применяются. Совет по оздоровлению принимает решение об исключении участника из Программы. Рабочий орган Совета по оздоровлению или комитет кредиторов потенциального участника принимают меры по взысканию бюджетных средств, направленных на софинансирование оплаты стоимости услуг консультанта, а также могут инициировать процедуру банкротства.</w:t>
      </w:r>
      <w:r>
        <w:br/>
      </w:r>
      <w:r>
        <w:rPr>
          <w:rFonts w:ascii="Times New Roman"/>
          <w:b w:val="false"/>
          <w:i w:val="false"/>
          <w:color w:val="000000"/>
          <w:sz w:val="28"/>
        </w:rPr>
        <w:t>
      В случае признания предприятия банкротом, бюджетные средства, направленные на софинансирование оплаты стоимости услуг консультанта, подлежат взысканию в Республиканский бюджет в порядке, установленном законодательством о банкротстве.»;</w:t>
      </w:r>
      <w:r>
        <w:br/>
      </w:r>
      <w:r>
        <w:rPr>
          <w:rFonts w:ascii="Times New Roman"/>
          <w:b w:val="false"/>
          <w:i w:val="false"/>
          <w:color w:val="000000"/>
          <w:sz w:val="28"/>
        </w:rPr>
        <w:t>
</w:t>
      </w:r>
      <w:r>
        <w:rPr>
          <w:rFonts w:ascii="Times New Roman"/>
          <w:b w:val="false"/>
          <w:i w:val="false"/>
          <w:color w:val="000000"/>
          <w:sz w:val="28"/>
        </w:rPr>
        <w:t>
      дополнить частью восьмой следующего содержания:</w:t>
      </w:r>
      <w:r>
        <w:br/>
      </w:r>
      <w:r>
        <w:rPr>
          <w:rFonts w:ascii="Times New Roman"/>
          <w:b w:val="false"/>
          <w:i w:val="false"/>
          <w:color w:val="000000"/>
          <w:sz w:val="28"/>
        </w:rPr>
        <w:t>
      «При отсутствии решения суда о введении ускоренной реабилитационной процедуры, предусматривающей мораторий на подачу исков кредиторов о признании предприятия банкротом, меры государственной поддержки применяются, в случае, если поправки, предусмотренные в </w:t>
      </w:r>
      <w:r>
        <w:rPr>
          <w:rFonts w:ascii="Times New Roman"/>
          <w:b w:val="false"/>
          <w:i w:val="false"/>
          <w:color w:val="000000"/>
          <w:sz w:val="28"/>
        </w:rPr>
        <w:t>пункте 5</w:t>
      </w:r>
      <w:r>
        <w:rPr>
          <w:rFonts w:ascii="Times New Roman"/>
          <w:b w:val="false"/>
          <w:i w:val="false"/>
          <w:color w:val="000000"/>
          <w:sz w:val="28"/>
        </w:rPr>
        <w:t xml:space="preserve"> настоящего раздела Программы, не были приняты до признания предприятия участником Программы. При этом, после принятия вышеуказанных поправок, участник направляет в суд заявление о введении ускоренной реабилитационной процедуры, предусматривающей мораторий на подачу исков кредиторов о признании предприятия банкротом.»;</w:t>
      </w:r>
      <w:r>
        <w:br/>
      </w:r>
      <w:r>
        <w:rPr>
          <w:rFonts w:ascii="Times New Roman"/>
          <w:b w:val="false"/>
          <w:i w:val="false"/>
          <w:color w:val="000000"/>
          <w:sz w:val="28"/>
        </w:rPr>
        <w:t>
</w:t>
      </w:r>
      <w:r>
        <w:rPr>
          <w:rFonts w:ascii="Times New Roman"/>
          <w:b w:val="false"/>
          <w:i w:val="false"/>
          <w:color w:val="000000"/>
          <w:sz w:val="28"/>
        </w:rPr>
        <w:t>
      часть семнадцатую изложить в следующей редакции:</w:t>
      </w:r>
      <w:r>
        <w:br/>
      </w:r>
      <w:r>
        <w:rPr>
          <w:rFonts w:ascii="Times New Roman"/>
          <w:b w:val="false"/>
          <w:i w:val="false"/>
          <w:color w:val="000000"/>
          <w:sz w:val="28"/>
        </w:rPr>
        <w:t>
      «Субсидирование осуществляется в соответствии с Правилами субсидирования процентной ставки вознаграждения в рамках Программы посткризисного восстановления (оздоровление конкурентоспособных предприятий),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сентября 2011 года № 1031.»;</w:t>
      </w:r>
      <w:r>
        <w:br/>
      </w:r>
      <w:r>
        <w:rPr>
          <w:rFonts w:ascii="Times New Roman"/>
          <w:b w:val="false"/>
          <w:i w:val="false"/>
          <w:color w:val="000000"/>
          <w:sz w:val="28"/>
        </w:rPr>
        <w:t>
</w:t>
      </w:r>
      <w:r>
        <w:rPr>
          <w:rFonts w:ascii="Times New Roman"/>
          <w:b w:val="false"/>
          <w:i w:val="false"/>
          <w:color w:val="000000"/>
          <w:sz w:val="28"/>
        </w:rPr>
        <w:t>
      части первую и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В целях решения поставленных в </w:t>
      </w:r>
      <w:r>
        <w:rPr>
          <w:rFonts w:ascii="Times New Roman"/>
          <w:b w:val="false"/>
          <w:i w:val="false"/>
          <w:color w:val="000000"/>
          <w:sz w:val="28"/>
        </w:rPr>
        <w:t>Программе</w:t>
      </w:r>
      <w:r>
        <w:rPr>
          <w:rFonts w:ascii="Times New Roman"/>
          <w:b w:val="false"/>
          <w:i w:val="false"/>
          <w:color w:val="000000"/>
          <w:sz w:val="28"/>
        </w:rPr>
        <w:t xml:space="preserve"> задач будут приняты меры по внесению изменений и дополнений в законодательство в области банкротства касательно применения судебной процедуры оздоровления (реабилитация).</w:t>
      </w:r>
      <w:r>
        <w:br/>
      </w:r>
      <w:r>
        <w:rPr>
          <w:rFonts w:ascii="Times New Roman"/>
          <w:b w:val="false"/>
          <w:i w:val="false"/>
          <w:color w:val="000000"/>
          <w:sz w:val="28"/>
        </w:rPr>
        <w:t>
      Будет предусмотрена возможность введения ускоренной реабилитационной процедуры, предусматривающей мораторий на подачу исков кредиторов о признании предприятия банкротом.»;</w:t>
      </w:r>
      <w:r>
        <w:br/>
      </w:r>
      <w:r>
        <w:rPr>
          <w:rFonts w:ascii="Times New Roman"/>
          <w:b w:val="false"/>
          <w:i w:val="false"/>
          <w:color w:val="000000"/>
          <w:sz w:val="28"/>
        </w:rPr>
        <w:t>
</w:t>
      </w:r>
      <w:r>
        <w:rPr>
          <w:rFonts w:ascii="Times New Roman"/>
          <w:b w:val="false"/>
          <w:i w:val="false"/>
          <w:color w:val="000000"/>
          <w:sz w:val="28"/>
        </w:rPr>
        <w:t>
      части третью, четвертую, пятую и шестую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«Результаты мониторинга реализации планов реабилитаций (оздоровлений) участников Программы выносятся Рабочим органом на Совет по оздоровлению не реже одного раза в год.</w:t>
      </w:r>
      <w:r>
        <w:br/>
      </w:r>
      <w:r>
        <w:rPr>
          <w:rFonts w:ascii="Times New Roman"/>
          <w:b w:val="false"/>
          <w:i w:val="false"/>
          <w:color w:val="000000"/>
          <w:sz w:val="28"/>
        </w:rPr>
        <w:t>
      В случае выявления в ходе мониторинга реализации планов реабилитаций (оздоровлений) участников Программы неисполнения заинтересованными сторонами плана реабилитации (оздоровления) либо недостижения результатов плана реабилитации (оздоровления), Совет по оздоровлению выносит решение об исключении участника из Программы. Решение Совета по оздоровлению доводится до участника </w:t>
      </w:r>
      <w:r>
        <w:rPr>
          <w:rFonts w:ascii="Times New Roman"/>
          <w:b w:val="false"/>
          <w:i w:val="false"/>
          <w:color w:val="000000"/>
          <w:sz w:val="28"/>
        </w:rPr>
        <w:t>Программы</w:t>
      </w:r>
      <w:r>
        <w:rPr>
          <w:rFonts w:ascii="Times New Roman"/>
          <w:b w:val="false"/>
          <w:i w:val="false"/>
          <w:color w:val="000000"/>
          <w:sz w:val="28"/>
        </w:rPr>
        <w:t xml:space="preserve"> в течение 15 рабочих дней с момента его принятия.</w:t>
      </w:r>
      <w:r>
        <w:br/>
      </w:r>
      <w:r>
        <w:rPr>
          <w:rFonts w:ascii="Times New Roman"/>
          <w:b w:val="false"/>
          <w:i w:val="false"/>
          <w:color w:val="000000"/>
          <w:sz w:val="28"/>
        </w:rPr>
        <w:t>
      На основании решения Совета по оздоровлению об исключении участника из Программы Рабочий орган Совета по оздоровлению обращается в суд с заявлением об отмене ускоренной реабилитационной процедуры, предусматривающей мораторий на подачу исков кредиторов о признании предприятия банкротом, и принимает меры по взысканию бюджетных средств, отвлеченных в рамках исполнения плана реабилитации (оздоровления), в том числе и на софинансирование оплаты услуг консультантов, а также может инициировать процедуру банкротства.</w:t>
      </w:r>
      <w:r>
        <w:br/>
      </w:r>
      <w:r>
        <w:rPr>
          <w:rFonts w:ascii="Times New Roman"/>
          <w:b w:val="false"/>
          <w:i w:val="false"/>
          <w:color w:val="000000"/>
          <w:sz w:val="28"/>
        </w:rPr>
        <w:t>
      В случае признания предприятия банкротом, бюджетные средства, отвлеченные в рамках исполнения плана реабилитации (оздоровления), в том числе и на софинансирование оплаты услуг консультантов, подлежат взысканию в Республиканский бюджет в порядке, установленном законодательством о банкротстве.»;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7</w:t>
      </w:r>
      <w:r>
        <w:rPr>
          <w:rFonts w:ascii="Times New Roman"/>
          <w:b w:val="false"/>
          <w:i w:val="false"/>
          <w:color w:val="000000"/>
          <w:sz w:val="28"/>
        </w:rPr>
        <w:t xml:space="preserve"> «План мероприятий по реализации Программы»:</w:t>
      </w:r>
      <w:r>
        <w:br/>
      </w:r>
      <w:r>
        <w:rPr>
          <w:rFonts w:ascii="Times New Roman"/>
          <w:b w:val="false"/>
          <w:i w:val="false"/>
          <w:color w:val="000000"/>
          <w:sz w:val="28"/>
        </w:rPr>
        <w:t>
</w:t>
      </w:r>
      <w:r>
        <w:rPr>
          <w:rFonts w:ascii="Times New Roman"/>
          <w:b w:val="false"/>
          <w:i w:val="false"/>
          <w:color w:val="000000"/>
          <w:sz w:val="28"/>
        </w:rPr>
        <w:t>
      строку, порядковый номер 10, изложить в следующей редакции:</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4138"/>
        <w:gridCol w:w="3388"/>
        <w:gridCol w:w="2388"/>
        <w:gridCol w:w="3118"/>
      </w:tblGrid>
      <w:tr>
        <w:trPr>
          <w:trHeight w:val="76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заявлений</w:t>
            </w:r>
            <w:r>
              <w:br/>
            </w:r>
            <w:r>
              <w:rPr>
                <w:rFonts w:ascii="Times New Roman"/>
                <w:b w:val="false"/>
                <w:i w:val="false"/>
                <w:color w:val="000000"/>
                <w:sz w:val="20"/>
              </w:rPr>
              <w:t>
</w:t>
            </w:r>
            <w:r>
              <w:rPr>
                <w:rFonts w:ascii="Times New Roman"/>
                <w:b w:val="false"/>
                <w:i w:val="false"/>
                <w:color w:val="000000"/>
                <w:sz w:val="20"/>
              </w:rPr>
              <w:t>потенциальных участников</w:t>
            </w:r>
            <w:r>
              <w:br/>
            </w:r>
            <w:r>
              <w:rPr>
                <w:rFonts w:ascii="Times New Roman"/>
                <w:b w:val="false"/>
                <w:i w:val="false"/>
                <w:color w:val="000000"/>
                <w:sz w:val="20"/>
              </w:rPr>
              <w:t>
</w:t>
            </w:r>
            <w:r>
              <w:rPr>
                <w:rFonts w:ascii="Times New Roman"/>
                <w:b w:val="false"/>
                <w:i w:val="false"/>
                <w:color w:val="000000"/>
                <w:sz w:val="20"/>
              </w:rPr>
              <w:t>Программы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орган (МФ),</w:t>
            </w:r>
            <w:r>
              <w:br/>
            </w:r>
            <w:r>
              <w:rPr>
                <w:rFonts w:ascii="Times New Roman"/>
                <w:b w:val="false"/>
                <w:i w:val="false"/>
                <w:color w:val="000000"/>
                <w:sz w:val="20"/>
              </w:rPr>
              <w:t>
</w:t>
            </w:r>
            <w:r>
              <w:rPr>
                <w:rFonts w:ascii="Times New Roman"/>
                <w:b w:val="false"/>
                <w:i w:val="false"/>
                <w:color w:val="000000"/>
                <w:sz w:val="20"/>
              </w:rPr>
              <w:t>потенциальные</w:t>
            </w:r>
            <w:r>
              <w:br/>
            </w:r>
            <w:r>
              <w:rPr>
                <w:rFonts w:ascii="Times New Roman"/>
                <w:b w:val="false"/>
                <w:i w:val="false"/>
                <w:color w:val="000000"/>
                <w:sz w:val="20"/>
              </w:rPr>
              <w:t>
</w:t>
            </w:r>
            <w:r>
              <w:rPr>
                <w:rFonts w:ascii="Times New Roman"/>
                <w:b w:val="false"/>
                <w:i w:val="false"/>
                <w:color w:val="000000"/>
                <w:sz w:val="20"/>
              </w:rPr>
              <w:t>участники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Заявление на</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Программе</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w:t>
            </w:r>
            <w:r>
              <w:br/>
            </w:r>
            <w:r>
              <w:rPr>
                <w:rFonts w:ascii="Times New Roman"/>
                <w:b w:val="false"/>
                <w:i w:val="false"/>
                <w:color w:val="000000"/>
                <w:sz w:val="20"/>
              </w:rPr>
              <w:t>
</w:t>
            </w:r>
            <w:r>
              <w:rPr>
                <w:rFonts w:ascii="Times New Roman"/>
                <w:b w:val="false"/>
                <w:i w:val="false"/>
                <w:color w:val="000000"/>
                <w:sz w:val="20"/>
              </w:rPr>
              <w:t>2013 года</w:t>
            </w:r>
          </w:p>
        </w:tc>
      </w:tr>
    </w:tbl>
    <w:bookmarkStart w:name="z8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17 июня 2011 года № 660 «О создании Совета по оздоровлению»: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Положении</w:t>
      </w:r>
      <w:r>
        <w:rPr>
          <w:rFonts w:ascii="Times New Roman"/>
          <w:b w:val="false"/>
          <w:i w:val="false"/>
          <w:color w:val="000000"/>
          <w:sz w:val="28"/>
        </w:rPr>
        <w:t xml:space="preserve"> о Совете по оздоровлению,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по всему тексту слова «плана оздоровления», «планов оздоровлений», «планы реабилитации (оздоровления)» заменить соответственно словами «плана реабилитации (оздоровления)», «планов реабилитаций (оздоровлений)», «планы реабилитаций (оздоровления)».</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июня 2011 года № 711 «Об утверждении Правил предоставления отраслевыми органами экспертного заключения на соответствие предприятия требованиям Программы посткризисного восстановления (оздоровление конкурентоспособных предприятий)» (САПП Республики Казахстан, 2011 г., № 43, ст. 569):</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отраслевыми органами экспертного заключения на соответствие предприятия требованиям Программы посткризисного восстановления (оздоровление конкурентоспособных предприятий),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«2) отраслевые органы - Министерство экономического развития и торговли Республики Казахстан, Министерство индустрии и новых технологий Республики Казахстан, Министерство сельского хозяйства Республики Казахстан, Министерство транспорта и коммуникаций Республики Казахстан, Министерство образования и науки Республики Казахстан, Министерство здравоохранения Республики Казахстан, Министерство культуры и информации Республики Казахстан, Агентство Республики Казахстан по делам строительства и жилищно-коммунального хозяйства, Агентство Республики Казахстан по делам спорта и физической культуры и другие;»;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4 изложить в следующей редакции:</w:t>
      </w:r>
      <w:r>
        <w:br/>
      </w:r>
      <w:r>
        <w:rPr>
          <w:rFonts w:ascii="Times New Roman"/>
          <w:b w:val="false"/>
          <w:i w:val="false"/>
          <w:color w:val="000000"/>
          <w:sz w:val="28"/>
        </w:rPr>
        <w:t>
      «3) подтверждение, что предприятие осуществляет деятельность в соответствующей отрасли.».</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9 июля 2011 года № 783 «Об утверждении Правил софинансирования из республиканского бюджета оплаты услуг консультантов в рамках Программы посткризисного восстановления (оздоровление конкурентоспособных предприятий) и внесении дополнения в постановление Правительства Республики Казахстан от 4 марта 2011 года № 225 «Об утверждении Программы посткризисного восстановления (оздоровление конкурентоспособных предприятий)» (САПП Республики Казахстан, 2011 г., № 46, ст. 621):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софинансирования из республиканского бюджета оплаты услуг консультантов в рамках Программы посткризисного восстановления (оздоровление конкурентоспособных предприятий),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по всему тексту слова «план оздоровления», «плана оздоровления», заменить соответственно словами «план реабилитации (оздоровления)», «плана реабилитаций (оздоровления)»;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«4) план реабилитации (оздоровления) - комплекс взаимосвязанных мероприятий, направленных на оздоровление должника при применении реабилитационной процедуры, ускоренной реабилитационной процедуры и осуществляемых на основе взаимного согласия между должником и кредиторами, группой однородных кредиторов в целях восстановления платежеспособности действующего предприятия и сохранения рабочих мест с указанием сроков реализации, включая график погашения требований кредиторов, а также достигаемых результатов, используемых ресурсов и возможных рисков;».</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8 сентября 2011 года № 1031 «Об утверждении Правил субсидирования процентной ставки вознаграждения в рамках Программы посткризисного восстановления (оздоровление конкурентоспособных предприятий) и внесении дополнения в постановление Правительства Республики Казахстан от 4 марта 2011 года № 225 «Об утверждении Программы посткризисного восстановления (оздоровление конкурентоспособных предприятий)» (САПП Республики Казахстан, 2011 г., № 53, ст. 755):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процентной ставки вознаграждения в рамках Программы посткризисного восстановления (оздоровление конкурентоспособных предприятий),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по всему тексту слова «план оздоровления», «планом оздоровления», «плана оздоровления», заменить соответственно словами «план реабилитации (оздоровления)», «планом реабилитации (оздоровления)», «плана реабилитации (оздоровления)»;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«план реабилитации (оздоровления) - комплекс взаимосвязанных мероприятий, направленных на оздоровление должника при применении реабилитационной процедуры, ускоренной реабилитационной процедуры и осуществляемых на основе взаимного согласия между должником и кредиторами, группой однородных кредиторов в целях восстановления платежеспособности действующего предприятия и сохранения рабочих мест с указанием сроков реализации, включая график погашения требований кредиторов, а также достигаемых результатов, используемых ресурсов и возможных рисков;»;</w:t>
      </w:r>
      <w:r>
        <w:br/>
      </w:r>
      <w:r>
        <w:rPr>
          <w:rFonts w:ascii="Times New Roman"/>
          <w:b w:val="false"/>
          <w:i w:val="false"/>
          <w:color w:val="000000"/>
          <w:sz w:val="28"/>
        </w:rPr>
        <w:t>
</w:t>
      </w:r>
      <w:r>
        <w:rPr>
          <w:rFonts w:ascii="Times New Roman"/>
          <w:b w:val="false"/>
          <w:i w:val="false"/>
          <w:color w:val="000000"/>
          <w:sz w:val="28"/>
        </w:rPr>
        <w:t>
      абзац одиннадцатый изложить в следующей редакции:</w:t>
      </w:r>
      <w:r>
        <w:br/>
      </w:r>
      <w:r>
        <w:rPr>
          <w:rFonts w:ascii="Times New Roman"/>
          <w:b w:val="false"/>
          <w:i w:val="false"/>
          <w:color w:val="000000"/>
          <w:sz w:val="28"/>
        </w:rPr>
        <w:t>
      «договор субсидирования – письменное соглашение, заключаемое между уполномоченным органом, оператором по субсидированию, собственником (собственниками), финансовой организацией (держателем облигаций) и участником, по условиям которого оператор по субсидированию перечисляет финансовой организации денежные средства, предназначенные для частичного возмещения расходов, уплачиваемых участником финансовой организации в качестве вознаграждения по кредитам и (или) лизинговым операциям, купона по облигациям, размещенным на Казахстанской фондовой бирже;»;</w:t>
      </w:r>
      <w:r>
        <w:br/>
      </w:r>
      <w:r>
        <w:rPr>
          <w:rFonts w:ascii="Times New Roman"/>
          <w:b w:val="false"/>
          <w:i w:val="false"/>
          <w:color w:val="000000"/>
          <w:sz w:val="28"/>
        </w:rPr>
        <w:t>
</w:t>
      </w:r>
      <w:r>
        <w:rPr>
          <w:rFonts w:ascii="Times New Roman"/>
          <w:b w:val="false"/>
          <w:i w:val="false"/>
          <w:color w:val="000000"/>
          <w:sz w:val="28"/>
        </w:rPr>
        <w:t>
      абзац пятнадцатый изложить в следующей редакции:</w:t>
      </w:r>
      <w:r>
        <w:br/>
      </w:r>
      <w:r>
        <w:rPr>
          <w:rFonts w:ascii="Times New Roman"/>
          <w:b w:val="false"/>
          <w:i w:val="false"/>
          <w:color w:val="000000"/>
          <w:sz w:val="28"/>
        </w:rPr>
        <w:t>
      «график погашения – график погашения, являющийся неотъемлемой частью договора субсидирования, в котором указаны все суммы платежей, перечисляемые оператором по субсидированию и выплачиваемые участником финансовой организации.»;</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«Положительная курсовая разница засчитывается в счет будущих субсидий, отрицательная курсовая разница возмещается за счет средств участника Программы. При определении курсовой разницы учитывается курс валюты, установленный Национальным Банком Республики Казахстан по состоянию на 1 января 2011 года и дату списания финансовой организацией денежных средств со специального текущего счета оператора по субсидированию либо дату перечисления денежных средств со специального расчетного счета оператора по субсидированию на счет держателя облигаций в соответствии с графиком погашения. При этом финансовая организация не взимает с оператора по субсидированию комиссии сборы и(или) иные платежи за открываемые (открытие, обслуживание, ведение, закрытие) специальные расчетный и текущий счета оператора по субсидированию.»;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Субсидирование предоставляется на условиях обязательности реструктуризации финансовыми кредиторами обязательств участника в соответствии с планом реабилитации (оздоровления), за исключением обязательств по инфраструктурным облигациям.»;</w:t>
      </w:r>
      <w:r>
        <w:br/>
      </w:r>
      <w:r>
        <w:rPr>
          <w:rFonts w:ascii="Times New Roman"/>
          <w:b w:val="false"/>
          <w:i w:val="false"/>
          <w:color w:val="000000"/>
          <w:sz w:val="28"/>
        </w:rPr>
        <w:t>
</w:t>
      </w:r>
      <w:r>
        <w:rPr>
          <w:rFonts w:ascii="Times New Roman"/>
          <w:b w:val="false"/>
          <w:i w:val="false"/>
          <w:color w:val="000000"/>
          <w:sz w:val="28"/>
        </w:rPr>
        <w:t>
      дополнить пунктом 9-1 следующего содержания:</w:t>
      </w:r>
      <w:r>
        <w:br/>
      </w:r>
      <w:r>
        <w:rPr>
          <w:rFonts w:ascii="Times New Roman"/>
          <w:b w:val="false"/>
          <w:i w:val="false"/>
          <w:color w:val="000000"/>
          <w:sz w:val="28"/>
        </w:rPr>
        <w:t>
      «9-1. При субсидировании купона по облигациям на держателя облигаций распространяются положения настоящих Правил в отношении финансовых организаций.</w:t>
      </w:r>
      <w:r>
        <w:br/>
      </w:r>
      <w:r>
        <w:rPr>
          <w:rFonts w:ascii="Times New Roman"/>
          <w:b w:val="false"/>
          <w:i w:val="false"/>
          <w:color w:val="000000"/>
          <w:sz w:val="28"/>
        </w:rPr>
        <w:t>
      Субсидирование купона по инфраструктурным облигациям не осуществляется.»;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Участник в течение пяти рабочих дней со дня представления решения суда о введении ускоренной реабилитационной процедуры, предусматривающей мораторий на подачу исков кредиторов о признании предприятия банкротом, подает оператору по субсидированию заявку на субсидирование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копии решения Совета по оздоровлению об одобрении плана реабилитации (оздоровления), проекта договора субсидирования, включая график погашения, составленный на основе графиков погашения займов участника с учетом проведенной реструктуризации в соответствии с планом реабилитации (оздоровления).</w:t>
      </w:r>
      <w:r>
        <w:br/>
      </w:r>
      <w:r>
        <w:rPr>
          <w:rFonts w:ascii="Times New Roman"/>
          <w:b w:val="false"/>
          <w:i w:val="false"/>
          <w:color w:val="000000"/>
          <w:sz w:val="28"/>
        </w:rPr>
        <w:t>
      Заявка на субсидирование может подаваться без представления решения суда о введении ускоренной реабилитационной процедуры, предусматривающей мораторий на подачу исков кредиторов о признании предприятия банкротом, в случаях, установленных </w:t>
      </w:r>
      <w:r>
        <w:rPr>
          <w:rFonts w:ascii="Times New Roman"/>
          <w:b w:val="false"/>
          <w:i w:val="false"/>
          <w:color w:val="000000"/>
          <w:sz w:val="28"/>
        </w:rPr>
        <w:t>Программой</w:t>
      </w:r>
      <w:r>
        <w:rPr>
          <w:rFonts w:ascii="Times New Roman"/>
          <w:b w:val="false"/>
          <w:i w:val="false"/>
          <w:color w:val="000000"/>
          <w:sz w:val="28"/>
        </w:rPr>
        <w:t>.</w:t>
      </w:r>
      <w:r>
        <w:br/>
      </w:r>
      <w:r>
        <w:rPr>
          <w:rFonts w:ascii="Times New Roman"/>
          <w:b w:val="false"/>
          <w:i w:val="false"/>
          <w:color w:val="000000"/>
          <w:sz w:val="28"/>
        </w:rPr>
        <w:t>
      13. В течение десяти рабочих дней со дня подачи участником заявки на субсидирование заключается договор субсидирования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графика погашения, на основании которого оператором по субсидированию выплачивается субсидируемая часть процентной ставки вознаграждения, а участником - не субсидируемая часть процентной ставки вознаграждения. Финансовая организация в течение одного дня с момента заключения договора субсидирования открывает специальный текущий счет.</w:t>
      </w:r>
      <w:r>
        <w:br/>
      </w:r>
      <w:r>
        <w:rPr>
          <w:rFonts w:ascii="Times New Roman"/>
          <w:b w:val="false"/>
          <w:i w:val="false"/>
          <w:color w:val="000000"/>
          <w:sz w:val="28"/>
        </w:rPr>
        <w:t>
      В график погашения могут быть внесены изменения путем заключения дополнительного соглашения к договору субсидирования в случае:</w:t>
      </w:r>
      <w:r>
        <w:br/>
      </w:r>
      <w:r>
        <w:rPr>
          <w:rFonts w:ascii="Times New Roman"/>
          <w:b w:val="false"/>
          <w:i w:val="false"/>
          <w:color w:val="000000"/>
          <w:sz w:val="28"/>
        </w:rPr>
        <w:t>
      1) внесения изменений и (или) дополнений в план реабилитации (оздоровления);</w:t>
      </w:r>
      <w:r>
        <w:br/>
      </w:r>
      <w:r>
        <w:rPr>
          <w:rFonts w:ascii="Times New Roman"/>
          <w:b w:val="false"/>
          <w:i w:val="false"/>
          <w:color w:val="000000"/>
          <w:sz w:val="28"/>
        </w:rPr>
        <w:t>
      2) оказания дополнительных мер поддержки со стороны кредиторов и собственников без внесения изменений и (или) дополнений в план реабилитации (оздоровления), в случае, если меры поддержки со стороны государства не увеличиваются.»;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Оператор по субсидированию перечисляет денежные средства для субсидирования в финансовые организации на открытые специальные текущие счета ежеквартально авансовыми платежами в срок до первого числа месяца предстоящего квартала, в том числе по мере поступления заявок от участников при условии своевременного перечисления денежных средств уполномоченным органом.</w:t>
      </w:r>
      <w:r>
        <w:br/>
      </w:r>
      <w:r>
        <w:rPr>
          <w:rFonts w:ascii="Times New Roman"/>
          <w:b w:val="false"/>
          <w:i w:val="false"/>
          <w:color w:val="000000"/>
          <w:sz w:val="28"/>
        </w:rPr>
        <w:t>
      Данный порядок не распространяется на субсидирование купона по облигациям.</w:t>
      </w:r>
      <w:r>
        <w:br/>
      </w:r>
      <w:r>
        <w:rPr>
          <w:rFonts w:ascii="Times New Roman"/>
          <w:b w:val="false"/>
          <w:i w:val="false"/>
          <w:color w:val="000000"/>
          <w:sz w:val="28"/>
        </w:rPr>
        <w:t>
      17. При оплате участником не субсидируемой части процентной ставки вознаграждения в соответствии с графиком погашения финансовая организация осуществляет списание денежных средств со специального текущего счета оператора по субсидированию в счет погашения субсидируемой части процентной ставки вознаграждения в день поступления оплаты от участника.</w:t>
      </w:r>
      <w:r>
        <w:br/>
      </w:r>
      <w:r>
        <w:rPr>
          <w:rFonts w:ascii="Times New Roman"/>
          <w:b w:val="false"/>
          <w:i w:val="false"/>
          <w:color w:val="000000"/>
          <w:sz w:val="28"/>
        </w:rPr>
        <w:t>
      Данный порядок не распространяется на субсидирование купона по облигациям.</w:t>
      </w:r>
      <w:r>
        <w:br/>
      </w:r>
      <w:r>
        <w:rPr>
          <w:rFonts w:ascii="Times New Roman"/>
          <w:b w:val="false"/>
          <w:i w:val="false"/>
          <w:color w:val="000000"/>
          <w:sz w:val="28"/>
        </w:rPr>
        <w:t>
      18. Финансовая организация письменно уведомляет оператора по субсидированию об оплате участником не субсидируемой части процентной ставки вознаграждения согласно графику погашения или нарушении участником графика погашения в срок не позднее дня, следующего за днем платежа, по форме согласно приложению 4 к настоящим Правилам.</w:t>
      </w:r>
      <w:r>
        <w:br/>
      </w:r>
      <w:r>
        <w:rPr>
          <w:rFonts w:ascii="Times New Roman"/>
          <w:b w:val="false"/>
          <w:i w:val="false"/>
          <w:color w:val="000000"/>
          <w:sz w:val="28"/>
        </w:rPr>
        <w:t>
      При субсидировании купона по облигациям оператор по субсидированию в течение двух рабочих дней с момента получения письменного уведомления об оплате участником не субсидируемой части процентной ставки вознаграждения, перечисляет денежные средства на текущий счет держателя облигаций в соответствии с графиком погашения при условии своевременного перечисления денежных средств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В случае неоплаты участником платежа по кредиту, лизинговым операциям или купону по облигациям, в том числе не субсидируемой части ставки вознаграждения в сроки, указанные в графике погашения:</w:t>
      </w:r>
      <w:r>
        <w:br/>
      </w:r>
      <w:r>
        <w:rPr>
          <w:rFonts w:ascii="Times New Roman"/>
          <w:b w:val="false"/>
          <w:i w:val="false"/>
          <w:color w:val="000000"/>
          <w:sz w:val="28"/>
        </w:rPr>
        <w:t>
      1) финансовая организация не производит списание денежных средств для субсидирования со специального текущего счета оператора по субсидированию (оператор по субсидированию прекращает перечисление денежных средств на текущий счет держателя облигаций) до погашения задолженности участником и в срок, не позднее дня, следующего за днем оплаты по графику погашения, уведомляет об этом оператора по субсидированию;</w:t>
      </w:r>
      <w:r>
        <w:br/>
      </w:r>
      <w:r>
        <w:rPr>
          <w:rFonts w:ascii="Times New Roman"/>
          <w:b w:val="false"/>
          <w:i w:val="false"/>
          <w:color w:val="000000"/>
          <w:sz w:val="28"/>
        </w:rPr>
        <w:t>
      2) при субсидировании ставки по кредиту или лизинговым операциям – оператор по субсидированию в день получения уведомления финансовой организации о неоплате участником платежа по кредиту, лизинговым операциям, в том числе не субсидируемой части ставки вознаграждения в сроки, указанные в графике погашения, приостанавливает выплаты финансовой организации субсидируемой части процентной ставки вознаграждения и уведомляет об этом уполномоченный орган;</w:t>
      </w:r>
      <w:r>
        <w:br/>
      </w:r>
      <w:r>
        <w:rPr>
          <w:rFonts w:ascii="Times New Roman"/>
          <w:b w:val="false"/>
          <w:i w:val="false"/>
          <w:color w:val="000000"/>
          <w:sz w:val="28"/>
        </w:rPr>
        <w:t>
      3) при субсидировании купона по облигациям – оператор по субсидированию в день получения уведомления держателя облигаций о неоплате участником платежа по купону по облигациям, в том числе не субсидируемой части в сроки, указанные в графике погашения, уведомляет об этом уполномоченный орган.</w:t>
      </w:r>
      <w:r>
        <w:br/>
      </w:r>
      <w:r>
        <w:rPr>
          <w:rFonts w:ascii="Times New Roman"/>
          <w:b w:val="false"/>
          <w:i w:val="false"/>
          <w:color w:val="000000"/>
          <w:sz w:val="28"/>
        </w:rPr>
        <w:t>
      21. В случае полной оплаты участником просроченных платежей по кредиту, лизинговым операциям или купону по облигациям, в том числе не субсидируемой части ставки вознаграждения по графику погашения, финансовая организация письменно уведомляет об этом оператора по субсидированию и уполномоченный орган в срок не позднее дня, следующего за днем полной оплаты просроченных платежей.</w:t>
      </w:r>
      <w:r>
        <w:br/>
      </w:r>
      <w:r>
        <w:rPr>
          <w:rFonts w:ascii="Times New Roman"/>
          <w:b w:val="false"/>
          <w:i w:val="false"/>
          <w:color w:val="000000"/>
          <w:sz w:val="28"/>
        </w:rPr>
        <w:t>
      Уполномоченный орган в течение двух рабочих дней с момента получения письменного уведомления финансовой организации направляет письменное уведомление оператору по субсидированию о возобновлении выплат субсидируемой части процентной ставки вознаграждения.»;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 Решение о прекращении субсидирования принимается Советом по оздоровлению.»;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r>
        <w:br/>
      </w:r>
      <w:r>
        <w:rPr>
          <w:rFonts w:ascii="Times New Roman"/>
          <w:b w:val="false"/>
          <w:i w:val="false"/>
          <w:color w:val="000000"/>
          <w:sz w:val="28"/>
        </w:rPr>
        <w:t>
</w:t>
      </w:r>
      <w:r>
        <w:rPr>
          <w:rFonts w:ascii="Times New Roman"/>
          <w:b w:val="false"/>
          <w:i w:val="false"/>
          <w:color w:val="000000"/>
          <w:sz w:val="28"/>
        </w:rPr>
        <w:t>
      раздел 1 «Сведения об участнике» дополнить строкой 1.7 следующего содержания:</w:t>
      </w:r>
      <w:r>
        <w:br/>
      </w:r>
      <w:r>
        <w:rPr>
          <w:rFonts w:ascii="Times New Roman"/>
          <w:b w:val="false"/>
          <w:i w:val="false"/>
          <w:color w:val="000000"/>
          <w:sz w:val="28"/>
        </w:rPr>
        <w:t>
</w:t>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7747"/>
        <w:gridCol w:w="4514"/>
      </w:tblGrid>
      <w:tr>
        <w:trPr>
          <w:trHeight w:val="39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субсидирования процентной ставки</w:t>
            </w:r>
            <w:r>
              <w:br/>
            </w:r>
            <w:r>
              <w:rPr>
                <w:rFonts w:ascii="Times New Roman"/>
                <w:b w:val="false"/>
                <w:i w:val="false"/>
                <w:color w:val="000000"/>
                <w:sz w:val="20"/>
              </w:rPr>
              <w:t>
</w:t>
            </w:r>
            <w:r>
              <w:rPr>
                <w:rFonts w:ascii="Times New Roman"/>
                <w:b w:val="false"/>
                <w:i w:val="false"/>
                <w:color w:val="000000"/>
                <w:sz w:val="20"/>
              </w:rPr>
              <w:t>вознаграждения согласно графику погашения на весь</w:t>
            </w:r>
            <w:r>
              <w:br/>
            </w:r>
            <w:r>
              <w:rPr>
                <w:rFonts w:ascii="Times New Roman"/>
                <w:b w:val="false"/>
                <w:i w:val="false"/>
                <w:color w:val="000000"/>
                <w:sz w:val="20"/>
              </w:rPr>
              <w:t>
</w:t>
            </w:r>
            <w:r>
              <w:rPr>
                <w:rFonts w:ascii="Times New Roman"/>
                <w:b w:val="false"/>
                <w:i w:val="false"/>
                <w:color w:val="000000"/>
                <w:sz w:val="20"/>
              </w:rPr>
              <w:t>период реабилитации (оздоровления) (валюта)</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разделе 2 «Сведения о финансовой организации»:</w:t>
      </w:r>
      <w:r>
        <w:br/>
      </w:r>
      <w:r>
        <w:rPr>
          <w:rFonts w:ascii="Times New Roman"/>
          <w:b w:val="false"/>
          <w:i w:val="false"/>
          <w:color w:val="000000"/>
          <w:sz w:val="28"/>
        </w:rPr>
        <w:t>
</w:t>
      </w:r>
      <w:r>
        <w:rPr>
          <w:rFonts w:ascii="Times New Roman"/>
          <w:b w:val="false"/>
          <w:i w:val="false"/>
          <w:color w:val="000000"/>
          <w:sz w:val="28"/>
        </w:rPr>
        <w:t>
      заголовок раздела изложить в следующей редакции:</w:t>
      </w:r>
      <w:r>
        <w:br/>
      </w:r>
      <w:r>
        <w:rPr>
          <w:rFonts w:ascii="Times New Roman"/>
          <w:b w:val="false"/>
          <w:i w:val="false"/>
          <w:color w:val="000000"/>
          <w:sz w:val="28"/>
        </w:rPr>
        <w:t>
      «2. Сведения о финансовой организации/держателе облигаций»;</w:t>
      </w:r>
      <w:r>
        <w:br/>
      </w:r>
      <w:r>
        <w:rPr>
          <w:rFonts w:ascii="Times New Roman"/>
          <w:b w:val="false"/>
          <w:i w:val="false"/>
          <w:color w:val="000000"/>
          <w:sz w:val="28"/>
        </w:rPr>
        <w:t>
</w:t>
      </w:r>
      <w:r>
        <w:rPr>
          <w:rFonts w:ascii="Times New Roman"/>
          <w:b w:val="false"/>
          <w:i w:val="false"/>
          <w:color w:val="000000"/>
          <w:sz w:val="28"/>
        </w:rPr>
        <w:t>
      строку 2.6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7756"/>
        <w:gridCol w:w="4506"/>
      </w:tblGrid>
      <w:tr>
        <w:trPr>
          <w:trHeight w:val="39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договора займа (лизинга)/проспект</w:t>
            </w:r>
            <w:r>
              <w:br/>
            </w:r>
            <w:r>
              <w:rPr>
                <w:rFonts w:ascii="Times New Roman"/>
                <w:b w:val="false"/>
                <w:i w:val="false"/>
                <w:color w:val="000000"/>
                <w:sz w:val="20"/>
              </w:rPr>
              <w:t>
</w:t>
            </w:r>
            <w:r>
              <w:rPr>
                <w:rFonts w:ascii="Times New Roman"/>
                <w:b w:val="false"/>
                <w:i w:val="false"/>
                <w:color w:val="000000"/>
                <w:sz w:val="20"/>
              </w:rPr>
              <w:t>выпуска облигаций</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разделе 3 «Приложение к заявке» строку 3.2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12265"/>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договора субсидирования, включая график погашения, составленный на</w:t>
            </w:r>
            <w:r>
              <w:br/>
            </w:r>
            <w:r>
              <w:rPr>
                <w:rFonts w:ascii="Times New Roman"/>
                <w:b w:val="false"/>
                <w:i w:val="false"/>
                <w:color w:val="000000"/>
                <w:sz w:val="20"/>
              </w:rPr>
              <w:t>
</w:t>
            </w:r>
            <w:r>
              <w:rPr>
                <w:rFonts w:ascii="Times New Roman"/>
                <w:b w:val="false"/>
                <w:i w:val="false"/>
                <w:color w:val="000000"/>
                <w:sz w:val="20"/>
              </w:rPr>
              <w:t>основе графиков погашения займов участника с учетом проведенной</w:t>
            </w:r>
            <w:r>
              <w:br/>
            </w:r>
            <w:r>
              <w:rPr>
                <w:rFonts w:ascii="Times New Roman"/>
                <w:b w:val="false"/>
                <w:i w:val="false"/>
                <w:color w:val="000000"/>
                <w:sz w:val="20"/>
              </w:rPr>
              <w:t>
</w:t>
            </w:r>
            <w:r>
              <w:rPr>
                <w:rFonts w:ascii="Times New Roman"/>
                <w:b w:val="false"/>
                <w:i w:val="false"/>
                <w:color w:val="000000"/>
                <w:sz w:val="20"/>
              </w:rPr>
              <w:t>реструктуризации в соответствии с планом реабилитации (оздоровления)</w:t>
            </w:r>
          </w:p>
        </w:tc>
      </w:tr>
    </w:tbl>
    <w:bookmarkStart w:name="z155"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r>
        <w:br/>
      </w:r>
      <w:r>
        <w:rPr>
          <w:rFonts w:ascii="Times New Roman"/>
          <w:b w:val="false"/>
          <w:i w:val="false"/>
          <w:color w:val="000000"/>
          <w:sz w:val="28"/>
        </w:rPr>
        <w:t>
</w:t>
      </w:r>
      <w:r>
        <w:rPr>
          <w:rFonts w:ascii="Times New Roman"/>
          <w:b w:val="false"/>
          <w:i w:val="false"/>
          <w:color w:val="000000"/>
          <w:sz w:val="28"/>
        </w:rPr>
        <w:t>
      преамбулу изложить в следующей редакции:</w:t>
      </w:r>
      <w:r>
        <w:br/>
      </w:r>
      <w:r>
        <w:rPr>
          <w:rFonts w:ascii="Times New Roman"/>
          <w:b w:val="false"/>
          <w:i w:val="false"/>
          <w:color w:val="000000"/>
          <w:sz w:val="28"/>
        </w:rPr>
        <w:t>
      «Министерство финансов Республики Казахстан, именуемое в дальнейшем «Министерство», в лице вице-министра финансов ___________, действующего на основании приказа Министра финансов Республики Казахстан от ____ № ___ «О распределении обязанностей и полномочий между Министром, ответственным секретарем и вице-министрами финансов Республики Казахстан», а также в соответствии с Положением о Министерстве финансов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2008 года № 387, с одной стороны, а также акционерное общество «Компания по реабилитации и управлению активами», именуемое в дальнейшем «Компания», в лице президента ______, действующего на основании устава, со второй стороны, ________, именуемое в дальнейшем «Финансовая организация» («Держатель облигаций»), в лице _________, действующего на основании ____________, с третьей стороны, ________, именуемое в дальнейшем «Собственник», в лице _________, действующего на основании ____________, с четвертой стороны, и ________, именуемое в дальнейшем «Участник», в лице ___________, действующего на основании ________, с пятой стороны, совместно именуемые «Стороны», а по отдельности «Сторона», во исполнение решения Совета по оздоровлению от «__» ________ 20___ года № ____ и в соответствии с Программой посткризисного восстановления (оздоровление конкурентоспособных предприятий),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марта 2011 года № 225 (далее – Программа), Правилами субсидирования процентной ставки вознаграждения в рамках Программы (далее – Правила), заключили настоящий договор субсидирования (далее – договор) о нижеследующем:»;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Осуществление компанией выплат денежных средств финансовой организации (держателю облигаций), предназначенных для частичного возмещения расходов, уплачиваемых участником финансовой организации (держателю облигаций) в качестве вознаграждения по кредитам и (или) лизинговым операциям, купона по облигациям, размещенным на Казахстанской фондовой бирже (далее - субсидирование процентной ставки вознаграждения) согласно графику погашения, являющемуся неотъемлемой частью настоящего договора.»;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течение двух рабочих дней со дня уведомления финансовой организацией (держателем облигаций) о погашении участником просроченной части не субсидируемой части процентной ставки вознаграждения в полном объеме письменно сообщить о возобновлении компанией выплат субсидий;»;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«полного (полного досрочного) погашения участником основного долга по кредитам и (или) лизинговым операциям, полного досрочного выкупа облигаций, размещенных на Казахстанской фондовой бирже.»;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2.3 изложить в следующей редакции:</w:t>
      </w:r>
      <w:r>
        <w:br/>
      </w:r>
      <w:r>
        <w:rPr>
          <w:rFonts w:ascii="Times New Roman"/>
          <w:b w:val="false"/>
          <w:i w:val="false"/>
          <w:color w:val="000000"/>
          <w:sz w:val="28"/>
        </w:rPr>
        <w:t>
      «2) запрашивать у участника и финансовой организации (держателя облигаций) все необходимые документы и информацию по уплате вознаграждения в соответствии с графиком погашения.»;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при субсидировании ставки по кредиту или лизинговым операциям – ежеквартально в срок до первого числа месяца предстоящего квартала перечислять в финансовую организацию авансовыми платежами денежные средства для субсидирования процентной ставки вознаграждения на специальный текущий счет компании по мере поступления заявок от участников при условии своевременного перечисления денежных средств уполномоченным органом;</w:t>
      </w:r>
      <w:r>
        <w:br/>
      </w:r>
      <w:r>
        <w:rPr>
          <w:rFonts w:ascii="Times New Roman"/>
          <w:b w:val="false"/>
          <w:i w:val="false"/>
          <w:color w:val="000000"/>
          <w:sz w:val="28"/>
        </w:rPr>
        <w:t>
      при субсидировании купона по облигациям – своевременно перечислять денежные средства для субсидирования процентной ставки вознаграждения на текущий счет держателя облигации участника при оплате участником не субсидируемой части процентной ставки вознаграждения в сроки и размерах, согласно графику погашения, в том числе при полной оплате Участником просроченной задолженности, а также при условии своевременного перечисления денежных средств уполномоченным органом;</w:t>
      </w:r>
      <w:r>
        <w:br/>
      </w:r>
      <w:r>
        <w:rPr>
          <w:rFonts w:ascii="Times New Roman"/>
          <w:b w:val="false"/>
          <w:i w:val="false"/>
          <w:color w:val="000000"/>
          <w:sz w:val="28"/>
        </w:rPr>
        <w:t>
      3) в день получения уведомления от финансовой организации (держателя облигаций) о несвоевременной оплате участником платежа по кредиту, лизинговым операциям или купона по облигациям, в том числе не субсидируемой части ставки вознаграждения в сроки, указанные в графике погашения, приостановить выплаты финансовой организации (держателю облигаций) субсидируемой части процентной ставки вознаграждения и уведомить Министерство;</w:t>
      </w:r>
      <w:r>
        <w:br/>
      </w:r>
      <w:r>
        <w:rPr>
          <w:rFonts w:ascii="Times New Roman"/>
          <w:b w:val="false"/>
          <w:i w:val="false"/>
          <w:color w:val="000000"/>
          <w:sz w:val="28"/>
        </w:rPr>
        <w:t>
      4) ежемесячно к 15 числу месяца, следующего за отчетным, представлять в Министерство информацию о субсидировании процентной ставки в рамках реализации Программы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Финансовая организация (держатель облигаций) вправе:»;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«2.6 Финансовая организация (держатель облигаций) обязана:»;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субсидировании ставки по кредиту или лизинговым операциям – открыть специальный текущий счет компании, предназначенный для субсидирования процентной ставки вознаграждения не позднее следующего рабочего дня с момента заключения настоящего договора;</w:t>
      </w:r>
      <w:r>
        <w:br/>
      </w:r>
      <w:r>
        <w:rPr>
          <w:rFonts w:ascii="Times New Roman"/>
          <w:b w:val="false"/>
          <w:i w:val="false"/>
          <w:color w:val="000000"/>
          <w:sz w:val="28"/>
        </w:rPr>
        <w:t>
      при субсидировании купона по облигациям – открыть свой текущий счет в банке второго уровня, предназначенный для субсидирования процентной ставки вознаграждения не позднее следующего рабочего дня с момента заключения настоящего договора;»;</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не взимать с компании комиссии, сборы и(или) иные платежи за открываемый (открытие, обслуживание, введение) специальный текущий счет компании;»;</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не производить погашение не субсидируемой части ставки вознаграждения за счет денежных средств компании, предназначенных для погашения субсидируемой части ставки вознаграждения;»;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обеспечить своевременное списание денежных средств со специального текущего счета компании при оплате участником не субсидируемой части процентной ставки вознаграждения в сроки и размерах, согласно графику погашения, в том числе при полной оплате участником просроченной задолженности;»;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в случае неоплаты участником платежа по кредиту, в том числе не субсидируемой части ставки вознаграждения, в сроки, указанные в графике погашения, не производить списание денежных средств для субсидирования со специального текущего счета компании до погашения задолженности участником и в срок, не позднее дня, следующего за днем оплаты по графику погашения, уведомить компанию;»;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ежемесячно к 10 числу месяца, следующего за отчетным, представлять в компанию информацию о субсидировании процентной ставки в рамках реализации Программы за отчетный месяц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при изменении юридического адреса, почтовых и банковских реквизитов, а также фактического адреса финансовой организации (держателя облигаций) письменно сообщать сторонам о таких изменениях в течение пяти рабочих дней. В случае неизвещения и (или) несвоевременного извещения, ответственность за возможные последствия несет финансовая организация (держатель облигаций);»;</w:t>
      </w:r>
      <w:r>
        <w:br/>
      </w:r>
      <w:r>
        <w:rPr>
          <w:rFonts w:ascii="Times New Roman"/>
          <w:b w:val="false"/>
          <w:i w:val="false"/>
          <w:color w:val="000000"/>
          <w:sz w:val="28"/>
        </w:rPr>
        <w:t>
</w:t>
      </w:r>
      <w:r>
        <w:rPr>
          <w:rFonts w:ascii="Times New Roman"/>
          <w:b w:val="false"/>
          <w:i w:val="false"/>
          <w:color w:val="000000"/>
          <w:sz w:val="28"/>
        </w:rPr>
        <w:t>
      дополнить подпунктом 13) следующего содержания:</w:t>
      </w:r>
      <w:r>
        <w:br/>
      </w:r>
      <w:r>
        <w:rPr>
          <w:rFonts w:ascii="Times New Roman"/>
          <w:b w:val="false"/>
          <w:i w:val="false"/>
          <w:color w:val="000000"/>
          <w:sz w:val="28"/>
        </w:rPr>
        <w:t>
</w:t>
      </w:r>
      <w:r>
        <w:rPr>
          <w:rFonts w:ascii="Times New Roman"/>
          <w:b w:val="false"/>
          <w:i w:val="false"/>
          <w:color w:val="000000"/>
          <w:sz w:val="28"/>
        </w:rPr>
        <w:t>
      «13) предоставить участнику меры поддержки, предусмотренные в плане реабилитации (оздоровления).»;</w:t>
      </w:r>
      <w:r>
        <w:br/>
      </w:r>
      <w:r>
        <w:rPr>
          <w:rFonts w:ascii="Times New Roman"/>
          <w:b w:val="false"/>
          <w:i w:val="false"/>
          <w:color w:val="000000"/>
          <w:sz w:val="28"/>
        </w:rPr>
        <w:t>
</w:t>
      </w:r>
      <w:r>
        <w:rPr>
          <w:rFonts w:ascii="Times New Roman"/>
          <w:b w:val="false"/>
          <w:i w:val="false"/>
          <w:color w:val="000000"/>
          <w:sz w:val="28"/>
        </w:rPr>
        <w:t>
      дополнить пунктом 2.6-1 следующего содержания:</w:t>
      </w:r>
      <w:r>
        <w:br/>
      </w:r>
      <w:r>
        <w:rPr>
          <w:rFonts w:ascii="Times New Roman"/>
          <w:b w:val="false"/>
          <w:i w:val="false"/>
          <w:color w:val="000000"/>
          <w:sz w:val="28"/>
        </w:rPr>
        <w:t>
</w:t>
      </w:r>
      <w:r>
        <w:rPr>
          <w:rFonts w:ascii="Times New Roman"/>
          <w:b w:val="false"/>
          <w:i w:val="false"/>
          <w:color w:val="000000"/>
          <w:sz w:val="28"/>
        </w:rPr>
        <w:t>
      «2.6-1. Собственник обязан:</w:t>
      </w:r>
      <w:r>
        <w:br/>
      </w:r>
      <w:r>
        <w:rPr>
          <w:rFonts w:ascii="Times New Roman"/>
          <w:b w:val="false"/>
          <w:i w:val="false"/>
          <w:color w:val="000000"/>
          <w:sz w:val="28"/>
        </w:rPr>
        <w:t>
</w:t>
      </w:r>
      <w:r>
        <w:rPr>
          <w:rFonts w:ascii="Times New Roman"/>
          <w:b w:val="false"/>
          <w:i w:val="false"/>
          <w:color w:val="000000"/>
          <w:sz w:val="28"/>
        </w:rPr>
        <w:t>
      1) предоставить участнику меры поддержки, предусмотренные в плане реабилитации (оздоровления);</w:t>
      </w:r>
      <w:r>
        <w:br/>
      </w:r>
      <w:r>
        <w:rPr>
          <w:rFonts w:ascii="Times New Roman"/>
          <w:b w:val="false"/>
          <w:i w:val="false"/>
          <w:color w:val="000000"/>
          <w:sz w:val="28"/>
        </w:rPr>
        <w:t>
</w:t>
      </w:r>
      <w:r>
        <w:rPr>
          <w:rFonts w:ascii="Times New Roman"/>
          <w:b w:val="false"/>
          <w:i w:val="false"/>
          <w:color w:val="000000"/>
          <w:sz w:val="28"/>
        </w:rPr>
        <w:t>
      2) своевременно извещать стороны настоящего договора обо всех обстоятельствах, способных повлиять на выполнение условий настоящего договора;</w:t>
      </w:r>
      <w:r>
        <w:br/>
      </w:r>
      <w:r>
        <w:rPr>
          <w:rFonts w:ascii="Times New Roman"/>
          <w:b w:val="false"/>
          <w:i w:val="false"/>
          <w:color w:val="000000"/>
          <w:sz w:val="28"/>
        </w:rPr>
        <w:t>
</w:t>
      </w:r>
      <w:r>
        <w:rPr>
          <w:rFonts w:ascii="Times New Roman"/>
          <w:b w:val="false"/>
          <w:i w:val="false"/>
          <w:color w:val="000000"/>
          <w:sz w:val="28"/>
        </w:rPr>
        <w:t>
      3) по требованию сторон настоящего договора представлять все необходимые документы и информацию, связанные с исполнением графика погашения.»;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2.8</w:t>
      </w:r>
      <w:r>
        <w:rPr>
          <w:rFonts w:ascii="Times New Roman"/>
          <w:b w:val="false"/>
          <w:i w:val="false"/>
          <w:color w:val="000000"/>
          <w:sz w:val="28"/>
        </w:rPr>
        <w:t xml:space="preserve"> дополнить подпунктом 4) следующего содержания:</w:t>
      </w:r>
      <w:r>
        <w:br/>
      </w:r>
      <w:r>
        <w:rPr>
          <w:rFonts w:ascii="Times New Roman"/>
          <w:b w:val="false"/>
          <w:i w:val="false"/>
          <w:color w:val="000000"/>
          <w:sz w:val="28"/>
        </w:rPr>
        <w:t>
</w:t>
      </w:r>
      <w:r>
        <w:rPr>
          <w:rFonts w:ascii="Times New Roman"/>
          <w:b w:val="false"/>
          <w:i w:val="false"/>
          <w:color w:val="000000"/>
          <w:sz w:val="28"/>
        </w:rPr>
        <w:t>
      «4) в случае принятия советом по оздоровлению решения об исключении участника из Программы, возвратить в тридцатидневный срок в республиканский бюджет денежные средства, отвлеченные в рамках исполнения плана реабилитации (оздоровления) для субсидирования процентной ставки вознаграждения.»;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Юридические адреса, банковские реквизиты и подписи сторон: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2624"/>
        <w:gridCol w:w="2625"/>
        <w:gridCol w:w="2625"/>
        <w:gridCol w:w="3315"/>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(держатель</w:t>
            </w:r>
            <w:r>
              <w:br/>
            </w:r>
            <w:r>
              <w:rPr>
                <w:rFonts w:ascii="Times New Roman"/>
                <w:b w:val="false"/>
                <w:i w:val="false"/>
                <w:color w:val="000000"/>
                <w:sz w:val="20"/>
              </w:rPr>
              <w:t>
</w:t>
            </w:r>
            <w:r>
              <w:rPr>
                <w:rFonts w:ascii="Times New Roman"/>
                <w:b w:val="false"/>
                <w:i w:val="false"/>
                <w:color w:val="000000"/>
                <w:sz w:val="20"/>
              </w:rPr>
              <w:t>облигаций):</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8"/>
    <w:p>
      <w:pPr>
        <w:spacing w:after="0"/>
        <w:ind w:left="0"/>
        <w:jc w:val="both"/>
      </w:pPr>
      <w:r>
        <w:rPr>
          <w:rFonts w:ascii="Times New Roman"/>
          <w:b w:val="false"/>
          <w:i w:val="false"/>
          <w:color w:val="000000"/>
          <w:sz w:val="28"/>
        </w:rPr>
        <w:t>
      Примечание: При субсидировании купона по облигациям обязанности, предусмотренные в договоре субсидирования подпунктами 1-1), 2), 2-1), 4), 6) пункта 2.6., на Держателя облигаций не распространяются.»;</w:t>
      </w:r>
      <w:r>
        <w:br/>
      </w:r>
      <w:r>
        <w:rPr>
          <w:rFonts w:ascii="Times New Roman"/>
          <w:b w:val="false"/>
          <w:i w:val="false"/>
          <w:color w:val="000000"/>
          <w:sz w:val="28"/>
        </w:rPr>
        <w:t>
</w:t>
      </w:r>
      <w:r>
        <w:rPr>
          <w:rFonts w:ascii="Times New Roman"/>
          <w:b w:val="false"/>
          <w:i w:val="false"/>
          <w:color w:val="000000"/>
          <w:sz w:val="28"/>
        </w:rPr>
        <w:t>
      приложение 2 договору субсидирования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4 к указанным Правилам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8"/>
    <w:bookmarkStart w:name="z211"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августа 2012 года № 1016</w:t>
      </w:r>
    </w:p>
    <w:bookmarkEnd w:id="9"/>
    <w:bookmarkStart w:name="z215"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Договору субсидирования</w:t>
      </w:r>
    </w:p>
    <w:bookmarkEnd w:id="10"/>
    <w:bookmarkStart w:name="z217" w:id="11"/>
    <w:p>
      <w:pPr>
        <w:spacing w:after="0"/>
        <w:ind w:left="0"/>
        <w:jc w:val="both"/>
      </w:pPr>
      <w:r>
        <w:rPr>
          <w:rFonts w:ascii="Times New Roman"/>
          <w:b w:val="false"/>
          <w:i w:val="false"/>
          <w:color w:val="000000"/>
          <w:sz w:val="28"/>
        </w:rPr>
        <w:t>
Информация о субсидировании процентной ставки в рамках реализации</w:t>
      </w:r>
      <w:r>
        <w:br/>
      </w:r>
      <w:r>
        <w:rPr>
          <w:rFonts w:ascii="Times New Roman"/>
          <w:b w:val="false"/>
          <w:i w:val="false"/>
          <w:color w:val="000000"/>
          <w:sz w:val="28"/>
        </w:rPr>
        <w:t>
Программы посткризисного восстановления (оздоровление</w:t>
      </w:r>
      <w:r>
        <w:br/>
      </w:r>
      <w:r>
        <w:rPr>
          <w:rFonts w:ascii="Times New Roman"/>
          <w:b w:val="false"/>
          <w:i w:val="false"/>
          <w:color w:val="000000"/>
          <w:sz w:val="28"/>
        </w:rPr>
        <w:t>
конкурентоспособных предприятий), за ____________ 20___ года</w:t>
      </w:r>
      <w:r>
        <w:br/>
      </w:r>
      <w:r>
        <w:rPr>
          <w:rFonts w:ascii="Times New Roman"/>
          <w:b w:val="false"/>
          <w:i w:val="false"/>
          <w:color w:val="000000"/>
          <w:sz w:val="28"/>
        </w:rPr>
        <w:t>
</w:t>
      </w:r>
      <w:r>
        <w:rPr>
          <w:rFonts w:ascii="Times New Roman"/>
          <w:b w:val="false"/>
          <w:i w:val="false"/>
          <w:color w:val="000000"/>
          <w:sz w:val="28"/>
        </w:rPr>
        <w:t>                                (отчетный месяц)</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297"/>
        <w:gridCol w:w="2025"/>
        <w:gridCol w:w="1480"/>
        <w:gridCol w:w="1375"/>
        <w:gridCol w:w="1837"/>
        <w:gridCol w:w="2277"/>
        <w:gridCol w:w="1964"/>
      </w:tblGrid>
      <w:tr>
        <w:trPr>
          <w:trHeight w:val="9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участника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субсидиро-</w:t>
            </w:r>
            <w:r>
              <w:br/>
            </w:r>
            <w:r>
              <w:rPr>
                <w:rFonts w:ascii="Times New Roman"/>
                <w:b w:val="false"/>
                <w:i w:val="false"/>
                <w:color w:val="000000"/>
                <w:sz w:val="20"/>
              </w:rPr>
              <w:t>
</w:t>
            </w:r>
            <w:r>
              <w:rPr>
                <w:rFonts w:ascii="Times New Roman"/>
                <w:b w:val="false"/>
                <w:i w:val="false"/>
                <w:color w:val="000000"/>
                <w:sz w:val="20"/>
              </w:rPr>
              <w:t>вания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вознаг-</w:t>
            </w:r>
            <w:r>
              <w:br/>
            </w:r>
            <w:r>
              <w:rPr>
                <w:rFonts w:ascii="Times New Roman"/>
                <w:b w:val="false"/>
                <w:i w:val="false"/>
                <w:color w:val="000000"/>
                <w:sz w:val="20"/>
              </w:rPr>
              <w:t>
</w:t>
            </w:r>
            <w:r>
              <w:rPr>
                <w:rFonts w:ascii="Times New Roman"/>
                <w:b w:val="false"/>
                <w:i w:val="false"/>
                <w:color w:val="000000"/>
                <w:sz w:val="20"/>
              </w:rPr>
              <w:t>раждения</w:t>
            </w:r>
            <w:r>
              <w:br/>
            </w:r>
            <w:r>
              <w:rPr>
                <w:rFonts w:ascii="Times New Roman"/>
                <w:b w:val="false"/>
                <w:i w:val="false"/>
                <w:color w:val="000000"/>
                <w:sz w:val="20"/>
              </w:rPr>
              <w:t>
</w:t>
            </w:r>
            <w:r>
              <w:rPr>
                <w:rFonts w:ascii="Times New Roman"/>
                <w:b w:val="false"/>
                <w:i w:val="false"/>
                <w:color w:val="000000"/>
                <w:sz w:val="20"/>
              </w:rPr>
              <w:t>(%) (гр.</w:t>
            </w:r>
            <w:r>
              <w:br/>
            </w:r>
            <w:r>
              <w:rPr>
                <w:rFonts w:ascii="Times New Roman"/>
                <w:b w:val="false"/>
                <w:i w:val="false"/>
                <w:color w:val="000000"/>
                <w:sz w:val="20"/>
              </w:rPr>
              <w:t>
</w:t>
            </w:r>
            <w:r>
              <w:rPr>
                <w:rFonts w:ascii="Times New Roman"/>
                <w:b w:val="false"/>
                <w:i w:val="false"/>
                <w:color w:val="000000"/>
                <w:sz w:val="20"/>
              </w:rPr>
              <w:t>5 + гр.</w:t>
            </w:r>
            <w:r>
              <w:br/>
            </w:r>
            <w:r>
              <w:rPr>
                <w:rFonts w:ascii="Times New Roman"/>
                <w:b w:val="false"/>
                <w:i w:val="false"/>
                <w:color w:val="000000"/>
                <w:sz w:val="20"/>
              </w:rPr>
              <w:t>
</w:t>
            </w:r>
            <w:r>
              <w:rPr>
                <w:rFonts w:ascii="Times New Roman"/>
                <w:b w:val="false"/>
                <w:i w:val="false"/>
                <w:color w:val="000000"/>
                <w:sz w:val="20"/>
              </w:rPr>
              <w:t>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дируе-</w:t>
            </w:r>
            <w:r>
              <w:br/>
            </w:r>
            <w:r>
              <w:rPr>
                <w:rFonts w:ascii="Times New Roman"/>
                <w:b w:val="false"/>
                <w:i w:val="false"/>
                <w:color w:val="000000"/>
                <w:sz w:val="20"/>
              </w:rPr>
              <w:t>
</w:t>
            </w:r>
            <w:r>
              <w:rPr>
                <w:rFonts w:ascii="Times New Roman"/>
                <w:b w:val="false"/>
                <w:i w:val="false"/>
                <w:color w:val="000000"/>
                <w:sz w:val="20"/>
              </w:rPr>
              <w:t>мая</w:t>
            </w:r>
            <w:r>
              <w:br/>
            </w:r>
            <w:r>
              <w:rPr>
                <w:rFonts w:ascii="Times New Roman"/>
                <w:b w:val="false"/>
                <w:i w:val="false"/>
                <w:color w:val="000000"/>
                <w:sz w:val="20"/>
              </w:rPr>
              <w:t>
</w:t>
            </w: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возна-</w:t>
            </w:r>
            <w:r>
              <w:br/>
            </w:r>
            <w:r>
              <w:rPr>
                <w:rFonts w:ascii="Times New Roman"/>
                <w:b w:val="false"/>
                <w:i w:val="false"/>
                <w:color w:val="000000"/>
                <w:sz w:val="20"/>
              </w:rPr>
              <w:t>
</w:t>
            </w:r>
            <w:r>
              <w:rPr>
                <w:rFonts w:ascii="Times New Roman"/>
                <w:b w:val="false"/>
                <w:i w:val="false"/>
                <w:color w:val="000000"/>
                <w:sz w:val="20"/>
              </w:rPr>
              <w:t>гражде-</w:t>
            </w:r>
            <w:r>
              <w:br/>
            </w:r>
            <w:r>
              <w:rPr>
                <w:rFonts w:ascii="Times New Roman"/>
                <w:b w:val="false"/>
                <w:i w:val="false"/>
                <w:color w:val="000000"/>
                <w:sz w:val="20"/>
              </w:rPr>
              <w:t>
</w:t>
            </w:r>
            <w:r>
              <w:rPr>
                <w:rFonts w:ascii="Times New Roman"/>
                <w:b w:val="false"/>
                <w:i w:val="false"/>
                <w:color w:val="000000"/>
                <w:sz w:val="20"/>
              </w:rPr>
              <w:t>ния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субсиди-</w:t>
            </w:r>
            <w:r>
              <w:br/>
            </w:r>
            <w:r>
              <w:rPr>
                <w:rFonts w:ascii="Times New Roman"/>
                <w:b w:val="false"/>
                <w:i w:val="false"/>
                <w:color w:val="000000"/>
                <w:sz w:val="20"/>
              </w:rPr>
              <w:t>
</w:t>
            </w:r>
            <w:r>
              <w:rPr>
                <w:rFonts w:ascii="Times New Roman"/>
                <w:b w:val="false"/>
                <w:i w:val="false"/>
                <w:color w:val="000000"/>
                <w:sz w:val="20"/>
              </w:rPr>
              <w:t>руемая</w:t>
            </w:r>
            <w:r>
              <w:br/>
            </w:r>
            <w:r>
              <w:rPr>
                <w:rFonts w:ascii="Times New Roman"/>
                <w:b w:val="false"/>
                <w:i w:val="false"/>
                <w:color w:val="000000"/>
                <w:sz w:val="20"/>
              </w:rPr>
              <w:t>
</w:t>
            </w: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вознаграж-</w:t>
            </w:r>
            <w:r>
              <w:br/>
            </w:r>
            <w:r>
              <w:rPr>
                <w:rFonts w:ascii="Times New Roman"/>
                <w:b w:val="false"/>
                <w:i w:val="false"/>
                <w:color w:val="000000"/>
                <w:sz w:val="20"/>
              </w:rPr>
              <w:t>
</w:t>
            </w:r>
            <w:r>
              <w:rPr>
                <w:rFonts w:ascii="Times New Roman"/>
                <w:b w:val="false"/>
                <w:i w:val="false"/>
                <w:color w:val="000000"/>
                <w:sz w:val="20"/>
              </w:rPr>
              <w:t>дения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долга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размещенных</w:t>
            </w:r>
            <w:r>
              <w:br/>
            </w:r>
            <w:r>
              <w:rPr>
                <w:rFonts w:ascii="Times New Roman"/>
                <w:b w:val="false"/>
                <w:i w:val="false"/>
                <w:color w:val="000000"/>
                <w:sz w:val="20"/>
              </w:rPr>
              <w:t>
</w:t>
            </w:r>
            <w:r>
              <w:rPr>
                <w:rFonts w:ascii="Times New Roman"/>
                <w:b w:val="false"/>
                <w:i w:val="false"/>
                <w:color w:val="000000"/>
                <w:sz w:val="20"/>
              </w:rPr>
              <w:t>облигаций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 (тг)</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погашаемого</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долга в</w:t>
            </w:r>
            <w:r>
              <w:br/>
            </w:r>
            <w:r>
              <w:rPr>
                <w:rFonts w:ascii="Times New Roman"/>
                <w:b w:val="false"/>
                <w:i w:val="false"/>
                <w:color w:val="000000"/>
                <w:sz w:val="20"/>
              </w:rPr>
              <w:t>
</w:t>
            </w:r>
            <w:r>
              <w:rPr>
                <w:rFonts w:ascii="Times New Roman"/>
                <w:b w:val="false"/>
                <w:i w:val="false"/>
                <w:color w:val="000000"/>
                <w:sz w:val="20"/>
              </w:rPr>
              <w:t>отчетном</w:t>
            </w:r>
            <w:r>
              <w:br/>
            </w:r>
            <w:r>
              <w:rPr>
                <w:rFonts w:ascii="Times New Roman"/>
                <w:b w:val="false"/>
                <w:i w:val="false"/>
                <w:color w:val="000000"/>
                <w:sz w:val="20"/>
              </w:rPr>
              <w:t>
</w:t>
            </w:r>
            <w:r>
              <w:rPr>
                <w:rFonts w:ascii="Times New Roman"/>
                <w:b w:val="false"/>
                <w:i w:val="false"/>
                <w:color w:val="000000"/>
                <w:sz w:val="20"/>
              </w:rPr>
              <w:t>месяце/</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выкупаемых</w:t>
            </w:r>
            <w:r>
              <w:br/>
            </w:r>
            <w:r>
              <w:rPr>
                <w:rFonts w:ascii="Times New Roman"/>
                <w:b w:val="false"/>
                <w:i w:val="false"/>
                <w:color w:val="000000"/>
                <w:sz w:val="20"/>
              </w:rPr>
              <w:t>
</w:t>
            </w:r>
            <w:r>
              <w:rPr>
                <w:rFonts w:ascii="Times New Roman"/>
                <w:b w:val="false"/>
                <w:i w:val="false"/>
                <w:color w:val="000000"/>
                <w:sz w:val="20"/>
              </w:rPr>
              <w:t>облигаций в</w:t>
            </w:r>
            <w:r>
              <w:br/>
            </w:r>
            <w:r>
              <w:rPr>
                <w:rFonts w:ascii="Times New Roman"/>
                <w:b w:val="false"/>
                <w:i w:val="false"/>
                <w:color w:val="000000"/>
                <w:sz w:val="20"/>
              </w:rPr>
              <w:t>
</w:t>
            </w:r>
            <w:r>
              <w:rPr>
                <w:rFonts w:ascii="Times New Roman"/>
                <w:b w:val="false"/>
                <w:i w:val="false"/>
                <w:color w:val="000000"/>
                <w:sz w:val="20"/>
              </w:rPr>
              <w:t>отчетном</w:t>
            </w:r>
            <w:r>
              <w:br/>
            </w:r>
            <w:r>
              <w:rPr>
                <w:rFonts w:ascii="Times New Roman"/>
                <w:b w:val="false"/>
                <w:i w:val="false"/>
                <w:color w:val="000000"/>
                <w:sz w:val="20"/>
              </w:rPr>
              <w:t>
</w:t>
            </w:r>
            <w:r>
              <w:rPr>
                <w:rFonts w:ascii="Times New Roman"/>
                <w:b w:val="false"/>
                <w:i w:val="false"/>
                <w:color w:val="000000"/>
                <w:sz w:val="20"/>
              </w:rPr>
              <w:t>месяце (тг)</w:t>
            </w:r>
          </w:p>
        </w:tc>
      </w:tr>
      <w:tr>
        <w:trPr>
          <w:trHeight w:val="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gridCol w:w="1671"/>
        <w:gridCol w:w="2250"/>
        <w:gridCol w:w="2457"/>
        <w:gridCol w:w="2644"/>
        <w:gridCol w:w="2852"/>
      </w:tblGrid>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перечисленная сумма</w:t>
            </w:r>
            <w:r>
              <w:br/>
            </w:r>
            <w:r>
              <w:rPr>
                <w:rFonts w:ascii="Times New Roman"/>
                <w:b w:val="false"/>
                <w:i w:val="false"/>
                <w:color w:val="000000"/>
                <w:sz w:val="20"/>
              </w:rPr>
              <w:t>
</w:t>
            </w:r>
            <w:r>
              <w:rPr>
                <w:rFonts w:ascii="Times New Roman"/>
                <w:b w:val="false"/>
                <w:i w:val="false"/>
                <w:color w:val="000000"/>
                <w:sz w:val="20"/>
              </w:rPr>
              <w:t>участником за отчетный</w:t>
            </w:r>
            <w:r>
              <w:br/>
            </w:r>
            <w:r>
              <w:rPr>
                <w:rFonts w:ascii="Times New Roman"/>
                <w:b w:val="false"/>
                <w:i w:val="false"/>
                <w:color w:val="000000"/>
                <w:sz w:val="20"/>
              </w:rPr>
              <w:t>
</w:t>
            </w:r>
            <w:r>
              <w:rPr>
                <w:rFonts w:ascii="Times New Roman"/>
                <w:b w:val="false"/>
                <w:i w:val="false"/>
                <w:color w:val="000000"/>
                <w:sz w:val="20"/>
              </w:rPr>
              <w:t>месяц</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w:t>
            </w:r>
            <w:r>
              <w:br/>
            </w:r>
            <w:r>
              <w:rPr>
                <w:rFonts w:ascii="Times New Roman"/>
                <w:b w:val="false"/>
                <w:i w:val="false"/>
                <w:color w:val="000000"/>
                <w:sz w:val="20"/>
              </w:rPr>
              <w:t>
</w:t>
            </w:r>
            <w:r>
              <w:rPr>
                <w:rFonts w:ascii="Times New Roman"/>
                <w:b w:val="false"/>
                <w:i w:val="false"/>
                <w:color w:val="000000"/>
                <w:sz w:val="20"/>
              </w:rPr>
              <w:t>субсидирован-</w:t>
            </w:r>
            <w:r>
              <w:br/>
            </w:r>
            <w:r>
              <w:rPr>
                <w:rFonts w:ascii="Times New Roman"/>
                <w:b w:val="false"/>
                <w:i w:val="false"/>
                <w:color w:val="000000"/>
                <w:sz w:val="20"/>
              </w:rPr>
              <w:t>
</w:t>
            </w:r>
            <w:r>
              <w:rPr>
                <w:rFonts w:ascii="Times New Roman"/>
                <w:b w:val="false"/>
                <w:i w:val="false"/>
                <w:color w:val="000000"/>
                <w:sz w:val="20"/>
              </w:rPr>
              <w:t>ной ставки</w:t>
            </w:r>
            <w:r>
              <w:br/>
            </w:r>
            <w:r>
              <w:rPr>
                <w:rFonts w:ascii="Times New Roman"/>
                <w:b w:val="false"/>
                <w:i w:val="false"/>
                <w:color w:val="000000"/>
                <w:sz w:val="20"/>
              </w:rPr>
              <w:t>
</w:t>
            </w:r>
            <w:r>
              <w:rPr>
                <w:rFonts w:ascii="Times New Roman"/>
                <w:b w:val="false"/>
                <w:i w:val="false"/>
                <w:color w:val="000000"/>
                <w:sz w:val="20"/>
              </w:rPr>
              <w:t>вознагражде-</w:t>
            </w:r>
            <w:r>
              <w:br/>
            </w:r>
            <w:r>
              <w:rPr>
                <w:rFonts w:ascii="Times New Roman"/>
                <w:b w:val="false"/>
                <w:i w:val="false"/>
                <w:color w:val="000000"/>
                <w:sz w:val="20"/>
              </w:rPr>
              <w:t>
</w:t>
            </w:r>
            <w:r>
              <w:rPr>
                <w:rFonts w:ascii="Times New Roman"/>
                <w:b w:val="false"/>
                <w:i w:val="false"/>
                <w:color w:val="000000"/>
                <w:sz w:val="20"/>
              </w:rPr>
              <w:t>ния 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месяц (тг)</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субсидирован-</w:t>
            </w:r>
            <w:r>
              <w:br/>
            </w:r>
            <w:r>
              <w:rPr>
                <w:rFonts w:ascii="Times New Roman"/>
                <w:b w:val="false"/>
                <w:i w:val="false"/>
                <w:color w:val="000000"/>
                <w:sz w:val="20"/>
              </w:rPr>
              <w:t>
</w:t>
            </w:r>
            <w:r>
              <w:rPr>
                <w:rFonts w:ascii="Times New Roman"/>
                <w:b w:val="false"/>
                <w:i w:val="false"/>
                <w:color w:val="000000"/>
                <w:sz w:val="20"/>
              </w:rPr>
              <w:t>ной ставки</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месяц (тг)</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перечисленная</w:t>
            </w:r>
            <w:r>
              <w:br/>
            </w:r>
            <w:r>
              <w:rPr>
                <w:rFonts w:ascii="Times New Roman"/>
                <w:b w:val="false"/>
                <w:i w:val="false"/>
                <w:color w:val="000000"/>
                <w:sz w:val="20"/>
              </w:rPr>
              <w:t>
</w:t>
            </w:r>
            <w:r>
              <w:rPr>
                <w:rFonts w:ascii="Times New Roman"/>
                <w:b w:val="false"/>
                <w:i w:val="false"/>
                <w:color w:val="000000"/>
                <w:sz w:val="20"/>
              </w:rPr>
              <w:t>сумма субсидий</w:t>
            </w:r>
            <w:r>
              <w:br/>
            </w:r>
            <w:r>
              <w:rPr>
                <w:rFonts w:ascii="Times New Roman"/>
                <w:b w:val="false"/>
                <w:i w:val="false"/>
                <w:color w:val="000000"/>
                <w:sz w:val="20"/>
              </w:rPr>
              <w:t>
</w:t>
            </w:r>
            <w:r>
              <w:rPr>
                <w:rFonts w:ascii="Times New Roman"/>
                <w:b w:val="false"/>
                <w:i w:val="false"/>
                <w:color w:val="000000"/>
                <w:sz w:val="20"/>
              </w:rPr>
              <w:t>оператором по</w:t>
            </w:r>
            <w:r>
              <w:br/>
            </w:r>
            <w:r>
              <w:rPr>
                <w:rFonts w:ascii="Times New Roman"/>
                <w:b w:val="false"/>
                <w:i w:val="false"/>
                <w:color w:val="000000"/>
                <w:sz w:val="20"/>
              </w:rPr>
              <w:t>
</w:t>
            </w:r>
            <w:r>
              <w:rPr>
                <w:rFonts w:ascii="Times New Roman"/>
                <w:b w:val="false"/>
                <w:i w:val="false"/>
                <w:color w:val="000000"/>
                <w:sz w:val="20"/>
              </w:rPr>
              <w:t>субсидированию</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месяц (тг)</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субсидированная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месяц (тг)</w:t>
            </w:r>
          </w:p>
        </w:tc>
      </w:tr>
      <w:tr>
        <w:trPr>
          <w:trHeight w:val="132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долга/</w:t>
            </w:r>
            <w:r>
              <w:br/>
            </w:r>
            <w:r>
              <w:rPr>
                <w:rFonts w:ascii="Times New Roman"/>
                <w:b w:val="false"/>
                <w:i w:val="false"/>
                <w:color w:val="000000"/>
                <w:sz w:val="20"/>
              </w:rPr>
              <w:t>
</w:t>
            </w: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выкупленных</w:t>
            </w:r>
            <w:r>
              <w:br/>
            </w:r>
            <w:r>
              <w:rPr>
                <w:rFonts w:ascii="Times New Roman"/>
                <w:b w:val="false"/>
                <w:i w:val="false"/>
                <w:color w:val="000000"/>
                <w:sz w:val="20"/>
              </w:rPr>
              <w:t>
</w:t>
            </w:r>
            <w:r>
              <w:rPr>
                <w:rFonts w:ascii="Times New Roman"/>
                <w:b w:val="false"/>
                <w:i w:val="false"/>
                <w:color w:val="000000"/>
                <w:sz w:val="20"/>
              </w:rPr>
              <w:t>облигаций</w:t>
            </w:r>
            <w:r>
              <w:br/>
            </w:r>
            <w:r>
              <w:rPr>
                <w:rFonts w:ascii="Times New Roman"/>
                <w:b w:val="false"/>
                <w:i w:val="false"/>
                <w:color w:val="000000"/>
                <w:sz w:val="20"/>
              </w:rPr>
              <w:t>
</w:t>
            </w:r>
            <w:r>
              <w:rPr>
                <w:rFonts w:ascii="Times New Roman"/>
                <w:b w:val="false"/>
                <w:i w:val="false"/>
                <w:color w:val="000000"/>
                <w:sz w:val="20"/>
              </w:rPr>
              <w:t>(тг)</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не</w:t>
            </w:r>
            <w:r>
              <w:br/>
            </w:r>
            <w:r>
              <w:rPr>
                <w:rFonts w:ascii="Times New Roman"/>
                <w:b w:val="false"/>
                <w:i w:val="false"/>
                <w:color w:val="000000"/>
                <w:sz w:val="20"/>
              </w:rPr>
              <w:t>
</w:t>
            </w:r>
            <w:r>
              <w:rPr>
                <w:rFonts w:ascii="Times New Roman"/>
                <w:b w:val="false"/>
                <w:i w:val="false"/>
                <w:color w:val="000000"/>
                <w:sz w:val="20"/>
              </w:rPr>
              <w:t>субсиди-</w:t>
            </w:r>
            <w:r>
              <w:br/>
            </w:r>
            <w:r>
              <w:rPr>
                <w:rFonts w:ascii="Times New Roman"/>
                <w:b w:val="false"/>
                <w:i w:val="false"/>
                <w:color w:val="000000"/>
                <w:sz w:val="20"/>
              </w:rPr>
              <w:t>
</w:t>
            </w:r>
            <w:r>
              <w:rPr>
                <w:rFonts w:ascii="Times New Roman"/>
                <w:b w:val="false"/>
                <w:i w:val="false"/>
                <w:color w:val="000000"/>
                <w:sz w:val="20"/>
              </w:rPr>
              <w:t>рованной</w:t>
            </w:r>
            <w:r>
              <w:br/>
            </w:r>
            <w:r>
              <w:rPr>
                <w:rFonts w:ascii="Times New Roman"/>
                <w:b w:val="false"/>
                <w:i w:val="false"/>
                <w:color w:val="000000"/>
                <w:sz w:val="20"/>
              </w:rPr>
              <w:t>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возна-</w:t>
            </w:r>
            <w:r>
              <w:br/>
            </w:r>
            <w:r>
              <w:rPr>
                <w:rFonts w:ascii="Times New Roman"/>
                <w:b w:val="false"/>
                <w:i w:val="false"/>
                <w:color w:val="000000"/>
                <w:sz w:val="20"/>
              </w:rPr>
              <w:t>
</w:t>
            </w:r>
            <w:r>
              <w:rPr>
                <w:rFonts w:ascii="Times New Roman"/>
                <w:b w:val="false"/>
                <w:i w:val="false"/>
                <w:color w:val="000000"/>
                <w:sz w:val="20"/>
              </w:rPr>
              <w:t>граждения</w:t>
            </w:r>
            <w:r>
              <w:br/>
            </w:r>
            <w:r>
              <w:rPr>
                <w:rFonts w:ascii="Times New Roman"/>
                <w:b w:val="false"/>
                <w:i w:val="false"/>
                <w:color w:val="000000"/>
                <w:sz w:val="20"/>
              </w:rPr>
              <w:t>
</w:t>
            </w:r>
            <w:r>
              <w:rPr>
                <w:rFonts w:ascii="Times New Roman"/>
                <w:b w:val="false"/>
                <w:i w:val="false"/>
                <w:color w:val="000000"/>
                <w:sz w:val="20"/>
              </w:rPr>
              <w:t>(тг)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9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________________________             ___________________</w:t>
      </w:r>
      <w:r>
        <w:br/>
      </w:r>
      <w:r>
        <w:rPr>
          <w:rFonts w:ascii="Times New Roman"/>
          <w:b w:val="false"/>
          <w:i w:val="false"/>
          <w:color w:val="000000"/>
          <w:sz w:val="28"/>
        </w:rPr>
        <w:t>
М.П.                 (Ф.И.О.)                           (подпись)</w:t>
      </w:r>
    </w:p>
    <w:bookmarkStart w:name="z224"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августа 2012 года № 1016</w:t>
      </w:r>
    </w:p>
    <w:bookmarkEnd w:id="12"/>
    <w:bookmarkStart w:name="z228" w:id="1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субсидирования</w:t>
      </w:r>
      <w:r>
        <w:br/>
      </w:r>
      <w:r>
        <w:rPr>
          <w:rFonts w:ascii="Times New Roman"/>
          <w:b w:val="false"/>
          <w:i w:val="false"/>
          <w:color w:val="000000"/>
          <w:sz w:val="28"/>
        </w:rPr>
        <w:t>
процентной ставки вознаграждения в</w:t>
      </w:r>
      <w:r>
        <w:br/>
      </w:r>
      <w:r>
        <w:rPr>
          <w:rFonts w:ascii="Times New Roman"/>
          <w:b w:val="false"/>
          <w:i w:val="false"/>
          <w:color w:val="000000"/>
          <w:sz w:val="28"/>
        </w:rPr>
        <w:t>
рамках Программы посткризисного</w:t>
      </w:r>
      <w:r>
        <w:br/>
      </w:r>
      <w:r>
        <w:rPr>
          <w:rFonts w:ascii="Times New Roman"/>
          <w:b w:val="false"/>
          <w:i w:val="false"/>
          <w:color w:val="000000"/>
          <w:sz w:val="28"/>
        </w:rPr>
        <w:t>
восстановления (оздоровление</w:t>
      </w:r>
      <w:r>
        <w:br/>
      </w:r>
      <w:r>
        <w:rPr>
          <w:rFonts w:ascii="Times New Roman"/>
          <w:b w:val="false"/>
          <w:i w:val="false"/>
          <w:color w:val="000000"/>
          <w:sz w:val="28"/>
        </w:rPr>
        <w:t>
конкурентоспособных предприятий)</w:t>
      </w:r>
    </w:p>
    <w:bookmarkEnd w:id="13"/>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(Оператор по субсидированию)</w:t>
      </w:r>
    </w:p>
    <w:bookmarkStart w:name="z236" w:id="14"/>
    <w:p>
      <w:pPr>
        <w:spacing w:after="0"/>
        <w:ind w:left="0"/>
        <w:jc w:val="left"/>
      </w:pPr>
      <w:r>
        <w:rPr>
          <w:rFonts w:ascii="Times New Roman"/>
          <w:b/>
          <w:i w:val="false"/>
          <w:color w:val="000000"/>
        </w:rPr>
        <w:t xml:space="preserve"> 
УВЕДОМЛЕНИЕ</w:t>
      </w:r>
    </w:p>
    <w:bookmarkEnd w:id="14"/>
    <w:p>
      <w:pPr>
        <w:spacing w:after="0"/>
        <w:ind w:left="0"/>
        <w:jc w:val="both"/>
      </w:pPr>
      <w:r>
        <w:rPr>
          <w:rFonts w:ascii="Times New Roman"/>
          <w:b w:val="false"/>
          <w:i w:val="false"/>
          <w:color w:val="000000"/>
          <w:sz w:val="28"/>
        </w:rPr>
        <w:t>_______________________________________________ уведомляет о том, что</w:t>
      </w:r>
      <w:r>
        <w:br/>
      </w:r>
      <w:r>
        <w:rPr>
          <w:rFonts w:ascii="Times New Roman"/>
          <w:b w:val="false"/>
          <w:i w:val="false"/>
          <w:color w:val="000000"/>
          <w:sz w:val="28"/>
        </w:rPr>
        <w:t>
</w:t>
      </w:r>
      <w:r>
        <w:rPr>
          <w:rFonts w:ascii="Times New Roman"/>
          <w:b w:val="false"/>
          <w:i w:val="false"/>
          <w:color w:val="000000"/>
          <w:sz w:val="28"/>
        </w:rPr>
        <w:t>       (Финансовая организация/Держатель облигаций)</w:t>
      </w:r>
      <w:r>
        <w:br/>
      </w:r>
      <w:r>
        <w:rPr>
          <w:rFonts w:ascii="Times New Roman"/>
          <w:b w:val="false"/>
          <w:i w:val="false"/>
          <w:color w:val="000000"/>
          <w:sz w:val="28"/>
        </w:rPr>
        <w:t>
___________________ ________________________ обязательства по графику</w:t>
      </w:r>
      <w:r>
        <w:br/>
      </w:r>
      <w:r>
        <w:rPr>
          <w:rFonts w:ascii="Times New Roman"/>
          <w:b w:val="false"/>
          <w:i w:val="false"/>
          <w:color w:val="000000"/>
          <w:sz w:val="28"/>
        </w:rPr>
        <w:t>
</w:t>
      </w:r>
      <w:r>
        <w:rPr>
          <w:rFonts w:ascii="Times New Roman"/>
          <w:b w:val="false"/>
          <w:i w:val="false"/>
          <w:color w:val="000000"/>
          <w:sz w:val="28"/>
        </w:rPr>
        <w:t>  (Участник Программы)          число, месяц, год</w:t>
      </w:r>
      <w:r>
        <w:br/>
      </w:r>
      <w:r>
        <w:rPr>
          <w:rFonts w:ascii="Times New Roman"/>
          <w:b w:val="false"/>
          <w:i w:val="false"/>
          <w:color w:val="000000"/>
          <w:sz w:val="28"/>
        </w:rPr>
        <w:t xml:space="preserve">
погашения, являющемуся неотъемлемой частью договора субсидирования от ________ 20__ года № _____, исполнены/исполнены не в полном объеме/не исполнены </w:t>
      </w:r>
      <w:r>
        <w:rPr>
          <w:rFonts w:ascii="Times New Roman"/>
          <w:b w:val="false"/>
          <w:i/>
          <w:color w:val="000000"/>
          <w:sz w:val="28"/>
        </w:rPr>
        <w:t>(указать нужное)</w:t>
      </w:r>
      <w:r>
        <w:rPr>
          <w:rFonts w:ascii="Times New Roman"/>
          <w:b w:val="false"/>
          <w:i w:val="false"/>
          <w:color w:val="000000"/>
          <w:sz w:val="28"/>
        </w:rPr>
        <w:t>.</w:t>
      </w:r>
      <w:r>
        <w:br/>
      </w:r>
      <w:r>
        <w:rPr>
          <w:rFonts w:ascii="Times New Roman"/>
          <w:b w:val="false"/>
          <w:i w:val="false"/>
          <w:color w:val="000000"/>
          <w:sz w:val="28"/>
        </w:rPr>
        <w:t>
      Фактически оплаченная сумма участником составляет __________ тенге, в том числе:</w:t>
      </w:r>
      <w:r>
        <w:br/>
      </w:r>
      <w:r>
        <w:rPr>
          <w:rFonts w:ascii="Times New Roman"/>
          <w:b w:val="false"/>
          <w:i w:val="false"/>
          <w:color w:val="000000"/>
          <w:sz w:val="28"/>
        </w:rPr>
        <w:t>
      оплата основного долга/номинальная стоимость выкупленных облигаций ______ тенге;</w:t>
      </w:r>
      <w:r>
        <w:br/>
      </w:r>
      <w:r>
        <w:rPr>
          <w:rFonts w:ascii="Times New Roman"/>
          <w:b w:val="false"/>
          <w:i w:val="false"/>
          <w:color w:val="000000"/>
          <w:sz w:val="28"/>
        </w:rPr>
        <w:t>
      оплата не субсидируемой ставки вознаграждения ______ тенге.</w:t>
      </w:r>
      <w:r>
        <w:br/>
      </w:r>
      <w:r>
        <w:rPr>
          <w:rFonts w:ascii="Times New Roman"/>
          <w:b w:val="false"/>
          <w:i w:val="false"/>
          <w:color w:val="000000"/>
          <w:sz w:val="28"/>
        </w:rPr>
        <w:t>
      Фактическая сумма субсидируемой ставки вознаграждения _______ тенге.</w:t>
      </w:r>
    </w:p>
    <w:p>
      <w:pPr>
        <w:spacing w:after="0"/>
        <w:ind w:left="0"/>
        <w:jc w:val="both"/>
      </w:pPr>
      <w:r>
        <w:rPr>
          <w:rFonts w:ascii="Times New Roman"/>
          <w:b w:val="false"/>
          <w:i w:val="false"/>
          <w:color w:val="000000"/>
          <w:sz w:val="28"/>
        </w:rPr>
        <w:t>      Руководитель 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