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8925" w14:textId="4418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национальной части Смешанной Казахстанско-Российской комиссии по реализации Соглашения между Правительством Республики Казахстан и Правительством Российской Федерации о создании трансграничного резервата "Алтай"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2012 года № 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создании трансграничного резервата «Алтай» от 15 сентября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Сформировать национальную часть Смешанной Казахстанско-Российской комиссии по реализации Соглашения между Правительством Республики Казахстан и Правительством Российской Федерации о создании трансграничного резервата «Алтай»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2012 года № 950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национальной части Смешанной Казахстанско-Российской</w:t>
      </w:r>
      <w:r>
        <w:br/>
      </w:r>
      <w:r>
        <w:rPr>
          <w:rFonts w:ascii="Times New Roman"/>
          <w:b/>
          <w:i w:val="false"/>
          <w:color w:val="000000"/>
        </w:rPr>
        <w:t>
комиссии по реализации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 создании трансграничного резервата «Алтай»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9"/>
        <w:gridCol w:w="696"/>
        <w:gridCol w:w="8363"/>
      </w:tblGrid>
      <w:tr>
        <w:trPr>
          <w:trHeight w:val="75" w:hRule="atLeast"/>
        </w:trPr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75" w:hRule="atLeast"/>
        </w:trPr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Бахитжанович</w:t>
            </w:r>
          </w:p>
        </w:tc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Комитета лесного 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Казахстан, секретарь</w:t>
            </w:r>
          </w:p>
        </w:tc>
      </w:tr>
      <w:tr>
        <w:trPr>
          <w:trHeight w:val="135" w:hRule="atLeast"/>
        </w:trPr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Кашкымбаев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Серикбек Орымханович</w:t>
            </w:r>
          </w:p>
        </w:tc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75" w:hRule="atLeast"/>
        </w:trPr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Мубараков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Казбекович</w:t>
            </w:r>
          </w:p>
        </w:tc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 области</w:t>
            </w:r>
          </w:p>
        </w:tc>
      </w:tr>
      <w:tr>
        <w:trPr>
          <w:trHeight w:val="75" w:hRule="atLeast"/>
        </w:trPr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Гайниевич</w:t>
            </w:r>
          </w:p>
        </w:tc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охотничьего хозяйства</w:t>
            </w:r>
          </w:p>
        </w:tc>
      </w:tr>
      <w:tr>
        <w:trPr>
          <w:trHeight w:val="75" w:hRule="atLeast"/>
        </w:trPr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Кабылович</w:t>
            </w:r>
          </w:p>
        </w:tc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национального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