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4719" w14:textId="2d2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организации обмена информацией для реализации аналитических и контрольных функций таможенных органов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2012 года № 939.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обмена информацией для реализации аналитических и контрольных функций таможенных органов государств-членов Таможенного союза, совершенное 19 октября 2011 года в городе Санкт-Петербурге.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ОРГАНИЗАЦИИ ОБМЕНА ИНФОРМАЦИЕЙ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АНАЛИТИЧЕСКИХ И КОНТРОЛЬНЫХ ФУНКЦИЙ ТАМОЖЕННЫХ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 - ЧЛЕНОВ ТАМОЖЕННОГО СОЮЗА (Вступил в силу 22 марта 2013 года - Бюллетень международных договоров РК 2013 г., № 3, ст. 31)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