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13bd" w14:textId="65c1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2012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«О военной форме одежды и знаках различия военнослужащих Вооруженных Сил, других войск и воинских формирований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25 августа 2011 года № 144 «О военной форме одежды и знаках</w:t>
      </w:r>
      <w:r>
        <w:br/>
      </w:r>
      <w:r>
        <w:rPr>
          <w:rFonts w:ascii="Times New Roman"/>
          <w:b/>
          <w:i w:val="false"/>
          <w:color w:val="000000"/>
        </w:rPr>
        <w:t>
различия военнослужащих Вооруженных Сил, других войск и</w:t>
      </w:r>
      <w:r>
        <w:br/>
      </w:r>
      <w:r>
        <w:rPr>
          <w:rFonts w:ascii="Times New Roman"/>
          <w:b/>
          <w:i w:val="false"/>
          <w:color w:val="000000"/>
        </w:rPr>
        <w:t>
воинских формирований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№ 144 «О военной форме одежды и знаках различия военнослужащих Вооруженных Сил, других войск и воинских формирований Республики Казахстан 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законами Республики Казахстан от 7 января 2005 года «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от 16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