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b49b" w14:textId="815b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операции)(Транспортный коридор ЦАРЭС 1 [Обход города Тараз] Проект)[Международный транзитный коридор Западная Европа-Западная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6 июня 2012 года № 751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«Соглашение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июня 2012 года № 342</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r>
        <w:br/>
      </w:r>
      <w:r>
        <w:rPr>
          <w:rFonts w:ascii="Times New Roman"/>
          <w:b/>
          <w:i w:val="false"/>
          <w:color w:val="000000"/>
        </w:rPr>
        <w:t>
(Транспортный коридор ЦАРЭС 1 [Обход города Тараз] Проект)</w:t>
      </w:r>
      <w:r>
        <w:br/>
      </w:r>
      <w:r>
        <w:rPr>
          <w:rFonts w:ascii="Times New Roman"/>
          <w:b/>
          <w:i w:val="false"/>
          <w:color w:val="000000"/>
        </w:rPr>
        <w:t>
[Международный транзитный коридор Западная Европа - Западная</w:t>
      </w:r>
      <w:r>
        <w:br/>
      </w:r>
      <w:r>
        <w:rPr>
          <w:rFonts w:ascii="Times New Roman"/>
          <w:b/>
          <w:i w:val="false"/>
          <w:color w:val="000000"/>
        </w:rPr>
        <w:t>
Китайская Народная Республика] между Республикой Казахстан и</w:t>
      </w:r>
      <w:r>
        <w:br/>
      </w:r>
      <w:r>
        <w:rPr>
          <w:rFonts w:ascii="Times New Roman"/>
          <w:b/>
          <w:i w:val="false"/>
          <w:color w:val="000000"/>
        </w:rPr>
        <w:t>
Азиатским Банком Развития</w:t>
      </w:r>
    </w:p>
    <w:p>
      <w:pPr>
        <w:spacing w:after="0"/>
        <w:ind w:left="0"/>
        <w:jc w:val="both"/>
      </w:pPr>
      <w:r>
        <w:rPr>
          <w:rFonts w:ascii="Times New Roman"/>
          <w:b w:val="false"/>
          <w:i w:val="false"/>
          <w:color w:val="000000"/>
          <w:sz w:val="28"/>
        </w:rPr>
        <w:t>      СОГЛАШЕНИЕ О ЗАЙМЕ от ______ между РЕСПУБЛИКОЙ КАЗАХСТАН (именуемой в дальнейшем Заемщик) и АЗИАТСКИМ БАНКОМ РАЗВИТИЯ (именуемым в дальнейшем АБР).</w:t>
      </w:r>
      <w:r>
        <w:br/>
      </w:r>
      <w:r>
        <w:rPr>
          <w:rFonts w:ascii="Times New Roman"/>
          <w:b w:val="false"/>
          <w:i w:val="false"/>
          <w:color w:val="000000"/>
          <w:sz w:val="28"/>
        </w:rPr>
        <w:t>
      ПРИНИМАЯ ВО ВНИМАНИЕ НИЖЕСЛЕДУЮЩЕЕ</w:t>
      </w:r>
      <w:r>
        <w:br/>
      </w:r>
      <w:r>
        <w:rPr>
          <w:rFonts w:ascii="Times New Roman"/>
          <w:b w:val="false"/>
          <w:i w:val="false"/>
          <w:color w:val="000000"/>
          <w:sz w:val="28"/>
        </w:rPr>
        <w:t xml:space="preserve">
      (А) Заемщик обратился в АБР за кредитом в целях Проекта, описанных в Приложении 1 этого Соглашения о Займе; и </w:t>
      </w:r>
      <w:r>
        <w:br/>
      </w:r>
      <w:r>
        <w:rPr>
          <w:rFonts w:ascii="Times New Roman"/>
          <w:b w:val="false"/>
          <w:i w:val="false"/>
          <w:color w:val="000000"/>
          <w:sz w:val="28"/>
        </w:rPr>
        <w:t>
      (B) АБР предоставит Заемщику займ из обычных капитальных ресурсов АБР на сроки и условиях, представленных в этом документе.</w:t>
      </w:r>
      <w:r>
        <w:br/>
      </w: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left"/>
      </w:pPr>
      <w:r>
        <w:rPr>
          <w:rFonts w:ascii="Times New Roman"/>
          <w:b/>
          <w:i w:val="false"/>
          <w:color w:val="000000"/>
        </w:rPr>
        <w:t xml:space="preserve"> СТАТЬЯ 1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 предоставления займа), настоящим считаются применимыми к данному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(а) Раздел 3.03 удален и заменен нижеследующим:</w:t>
      </w:r>
      <w:r>
        <w:br/>
      </w:r>
      <w:r>
        <w:rPr>
          <w:rFonts w:ascii="Times New Roman"/>
          <w:b w:val="false"/>
          <w:i w:val="false"/>
          <w:color w:val="000000"/>
          <w:sz w:val="28"/>
        </w:rPr>
        <w:t>
      Комиссия за резервирование; Кредит</w:t>
      </w:r>
      <w:r>
        <w:br/>
      </w:r>
      <w:r>
        <w:rPr>
          <w:rFonts w:ascii="Times New Roman"/>
          <w:b w:val="false"/>
          <w:i w:val="false"/>
          <w:color w:val="000000"/>
          <w:sz w:val="28"/>
        </w:rPr>
        <w:t>
      (а) Заемщик обязуется выплачивать комиссию за резервирование по невостребованном сумме займа по ставке и условиям, предусмотренным Соглашением о займе.</w:t>
      </w:r>
      <w:r>
        <w:br/>
      </w: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r>
        <w:br/>
      </w:r>
      <w:r>
        <w:rPr>
          <w:rFonts w:ascii="Times New Roman"/>
          <w:b w:val="false"/>
          <w:i w:val="false"/>
          <w:color w:val="000000"/>
          <w:sz w:val="28"/>
        </w:rPr>
        <w:t>
      (b) Раздел 3.06 удален и заменен нижеследующим:</w:t>
      </w:r>
      <w:r>
        <w:br/>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(и)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(с) Раздел 3.07 удален и заменен нижеследующим:</w:t>
      </w:r>
      <w:r>
        <w:br/>
      </w: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и если фиксированный спред, применимый по данному займу, будет меньше, чем увеличенный фиксированный спред, Заемщик выплатит АБР дополнительную сумму. Размер данной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Размер данной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Следующие термины имеют нижеследующие значения:</w:t>
      </w:r>
      <w:r>
        <w:br/>
      </w:r>
      <w:r>
        <w:rPr>
          <w:rFonts w:ascii="Times New Roman"/>
          <w:b w:val="false"/>
          <w:i w:val="false"/>
          <w:color w:val="000000"/>
          <w:sz w:val="28"/>
        </w:rPr>
        <w:t>
      (а) «ЦАРЭС» означает Центрально-Азиатское Региональное Экономическое Сотрудничество;</w:t>
      </w:r>
      <w:r>
        <w:br/>
      </w:r>
      <w:r>
        <w:rPr>
          <w:rFonts w:ascii="Times New Roman"/>
          <w:b w:val="false"/>
          <w:i w:val="false"/>
          <w:color w:val="000000"/>
          <w:sz w:val="28"/>
        </w:rPr>
        <w:t>
      (b) «Транспортный коридор ЦАРЭС 1» означает Международный транзитный коридор «Западная Европа-Западная Китайская Народная Республика», проходящий от государственной границы с Китайской Народной Республикой на Хоргосе через г. Алматы и г. Шымкент до западной границы с Российской Федерацией;</w:t>
      </w:r>
      <w:r>
        <w:br/>
      </w:r>
      <w:r>
        <w:rPr>
          <w:rFonts w:ascii="Times New Roman"/>
          <w:b w:val="false"/>
          <w:i w:val="false"/>
          <w:color w:val="000000"/>
          <w:sz w:val="28"/>
        </w:rPr>
        <w:t>
      (c) «ОВОС» означает оценку воздействия на окружающую среду по Проекту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(d )«ПУОС» означает План управления окружающей средой, включенный в Оценку воздействия на окружающую среду (ОВОС);</w:t>
      </w:r>
      <w:r>
        <w:br/>
      </w:r>
      <w:r>
        <w:rPr>
          <w:rFonts w:ascii="Times New Roman"/>
          <w:b w:val="false"/>
          <w:i w:val="false"/>
          <w:color w:val="000000"/>
          <w:sz w:val="28"/>
        </w:rPr>
        <w:t>
      (e) «Политика в отношении окружающей среды» означает принципы и требования, изложенные в главе V, приложения 1, и приложения 4 (если применимо) ПМЗ;</w:t>
      </w:r>
      <w:r>
        <w:br/>
      </w:r>
      <w:r>
        <w:rPr>
          <w:rFonts w:ascii="Times New Roman"/>
          <w:b w:val="false"/>
          <w:i w:val="false"/>
          <w:color w:val="000000"/>
          <w:sz w:val="28"/>
        </w:rPr>
        <w:t>
      (f) «Политика в области вынужденного переселения» означает принципы и требования, изложенные в главе V, приложения 2, и Приложения 4 (если применимо) ПМЗ;</w:t>
      </w:r>
      <w:r>
        <w:br/>
      </w:r>
      <w:r>
        <w:rPr>
          <w:rFonts w:ascii="Times New Roman"/>
          <w:b w:val="false"/>
          <w:i w:val="false"/>
          <w:color w:val="000000"/>
          <w:sz w:val="28"/>
        </w:rPr>
        <w:t>
      (g) «ПВЗП» означает План выкупа земель и переселения для Проекта;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(h) «Справочник по выплатам средств займа» означает справочник АБР по выплатам средств займа (от 2007 года с периодическими поправками);</w:t>
      </w:r>
      <w:r>
        <w:br/>
      </w:r>
      <w:r>
        <w:rPr>
          <w:rFonts w:ascii="Times New Roman"/>
          <w:b w:val="false"/>
          <w:i w:val="false"/>
          <w:color w:val="000000"/>
          <w:sz w:val="28"/>
        </w:rPr>
        <w:t>
      (i) «МТК» означает Министерство транспорта и коммуникаций Заемщика, и любого его правопреемника;</w:t>
      </w:r>
      <w:r>
        <w:br/>
      </w:r>
      <w:r>
        <w:rPr>
          <w:rFonts w:ascii="Times New Roman"/>
          <w:b w:val="false"/>
          <w:i w:val="false"/>
          <w:color w:val="000000"/>
          <w:sz w:val="28"/>
        </w:rPr>
        <w:t>
      (j) «область» означает территориально-административную единицу Заемщика;</w:t>
      </w:r>
      <w:r>
        <w:br/>
      </w:r>
      <w:r>
        <w:rPr>
          <w:rFonts w:ascii="Times New Roman"/>
          <w:b w:val="false"/>
          <w:i w:val="false"/>
          <w:color w:val="000000"/>
          <w:sz w:val="28"/>
        </w:rPr>
        <w:t>
      (к) «РУП» означает руководство по управлению Проектом для Проекта от 28 октября 2011 года, согласованный между Заемщиком и АБР, с периодическими обновлениями согласно соответствующим административным процедурам Заемщика (через МТК) и АБР;</w:t>
      </w:r>
      <w:r>
        <w:br/>
      </w:r>
      <w:r>
        <w:rPr>
          <w:rFonts w:ascii="Times New Roman"/>
          <w:b w:val="false"/>
          <w:i w:val="false"/>
          <w:color w:val="000000"/>
          <w:sz w:val="28"/>
        </w:rPr>
        <w:t>
      (l)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(m) «План закупок» означает план закупок для Проекта от 28 октября 2011 года,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(n) «Исполнительное агентство по проекту» для целей и в рамках определения Правил предоставления займа означает МТК и любого его правопреемника, ответственного за исполнение Проекта;</w:t>
      </w:r>
      <w:r>
        <w:br/>
      </w:r>
      <w:r>
        <w:rPr>
          <w:rFonts w:ascii="Times New Roman"/>
          <w:b w:val="false"/>
          <w:i w:val="false"/>
          <w:color w:val="000000"/>
          <w:sz w:val="28"/>
        </w:rPr>
        <w:t>
      (о) «Проектная дорога» означает участки дороги, которые будут построены, улучшены или восстановлены в соответствии с Проектом, каждый случай описан более подробно в пункте 2 (a) приложения 1 к настоящему Соглашению о займе;</w:t>
      </w:r>
      <w:r>
        <w:br/>
      </w:r>
      <w:r>
        <w:rPr>
          <w:rFonts w:ascii="Times New Roman"/>
          <w:b w:val="false"/>
          <w:i w:val="false"/>
          <w:color w:val="000000"/>
          <w:sz w:val="28"/>
        </w:rPr>
        <w:t>
      (р) «ПМЗ» означает политику по мерам защиты АБР (от 2009 г.);</w:t>
      </w:r>
      <w:r>
        <w:br/>
      </w:r>
      <w:r>
        <w:rPr>
          <w:rFonts w:ascii="Times New Roman"/>
          <w:b w:val="false"/>
          <w:i w:val="false"/>
          <w:color w:val="000000"/>
          <w:sz w:val="28"/>
        </w:rPr>
        <w:t>
      (q) «Политика в отношении докладов с результатах мониторинга» означает, что каждый отчет подготовлен и представлен Заемщиком АБР, в котором изложены результаты работы по реализации и соответствия ПУОС и ПВЗП, включая любые корректирующие и предупреждающие действия; и</w:t>
      </w:r>
      <w:r>
        <w:br/>
      </w:r>
      <w:r>
        <w:rPr>
          <w:rFonts w:ascii="Times New Roman"/>
          <w:b w:val="false"/>
          <w:i w:val="false"/>
          <w:color w:val="000000"/>
          <w:sz w:val="28"/>
        </w:rPr>
        <w:t>
      (r)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left"/>
      </w:pPr>
      <w:r>
        <w:rPr>
          <w:rFonts w:ascii="Times New Roman"/>
          <w:b/>
          <w:i w:val="false"/>
          <w:color w:val="000000"/>
        </w:rPr>
        <w:t xml:space="preserve"> СТАТЬЯ II Заем</w:t>
      </w:r>
    </w:p>
    <w:p>
      <w:pPr>
        <w:spacing w:after="0"/>
        <w:ind w:left="0"/>
        <w:jc w:val="both"/>
      </w:pP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девяносто пять миллионов долларов США ($ 95 000 000),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двадцать (20) лет, и льготный период, определенный в пункте (с) данного раздела.</w:t>
      </w:r>
      <w:r>
        <w:br/>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w:t>
      </w:r>
      <w:r>
        <w:br/>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 Лондонской межбанковской ставки и 0,60 % в год согласно разделу 3.02 Правил предоставления займа, минус кредит 0,20 % в год согласно  разделу 3.03 Правил предоставления займа.</w:t>
      </w:r>
      <w:r>
        <w:br/>
      </w: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r>
        <w:br/>
      </w:r>
      <w:r>
        <w:rPr>
          <w:rFonts w:ascii="Times New Roman"/>
          <w:b w:val="false"/>
          <w:i w:val="false"/>
          <w:color w:val="000000"/>
          <w:sz w:val="28"/>
        </w:rPr>
        <w:t>
      Раздел 2.04. Проценты и прочие выплаты по займу подлежат оплате один раз в полугодие 15 мая и 15 ноября каждого года.</w:t>
      </w:r>
      <w:r>
        <w:br/>
      </w:r>
      <w:r>
        <w:rPr>
          <w:rFonts w:ascii="Times New Roman"/>
          <w:b w:val="false"/>
          <w:i w:val="false"/>
          <w:color w:val="000000"/>
          <w:sz w:val="28"/>
        </w:rPr>
        <w:t>
      Раздел 2.05. Заемщик обязуется выплатить основную сумму займа, востребованную из счета займа в соответствии с положениями приложения 2 настоящего Соглашения о займе.</w:t>
      </w:r>
      <w:r>
        <w:br/>
      </w:r>
      <w:r>
        <w:rPr>
          <w:rFonts w:ascii="Times New Roman"/>
          <w:b w:val="false"/>
          <w:i w:val="false"/>
          <w:color w:val="000000"/>
          <w:sz w:val="28"/>
        </w:rPr>
        <w:t>
      Раздел 2.06. (а)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(i) Изменение валюты займа полной или частичной суммы займа, выплаченной и невостребованной или невыплаченной,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 конвертации, в соответствии с пунктом (а) данного раздела, одобренный АБР, следует считать «Конвертацией» по определению раздела 2.01 (b)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 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Раздел 3.02. Все средства займа должны распределяться и изыматься в соответствии с положениями приложения 3 настоящего Соглашения с займе, при этом допустимы периодические изменения в данном приложении по согласию между Заемщиком и АБР.</w:t>
      </w:r>
      <w:r>
        <w:br/>
      </w:r>
      <w:r>
        <w:rPr>
          <w:rFonts w:ascii="Times New Roman"/>
          <w:b w:val="false"/>
          <w:i w:val="false"/>
          <w:color w:val="000000"/>
          <w:sz w:val="28"/>
        </w:rPr>
        <w:t>
      Раздел 3.03. Если АБР не указано иное, Заемщик проводит или организовывает проведение всех статей расходов в соответствии с применяемыми положениями приложения 4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30 июня 2015 года, либо такая другая дата, которая может согласовываться между Заемщиком и АБР.</w:t>
      </w:r>
    </w:p>
    <w:p>
      <w:pPr>
        <w:spacing w:after="0"/>
        <w:ind w:left="0"/>
        <w:jc w:val="left"/>
      </w:pPr>
      <w:r>
        <w:rPr>
          <w:rFonts w:ascii="Times New Roman"/>
          <w:b/>
          <w:i w:val="false"/>
          <w:color w:val="000000"/>
        </w:rPr>
        <w:t xml:space="preserve"> СТАТЬЯ IV Особые условия</w:t>
      </w:r>
    </w:p>
    <w:p>
      <w:pPr>
        <w:spacing w:after="0"/>
        <w:ind w:left="0"/>
        <w:jc w:val="both"/>
      </w:pPr>
      <w:r>
        <w:rPr>
          <w:rFonts w:ascii="Times New Roman"/>
          <w:b w:val="false"/>
          <w:i w:val="false"/>
          <w:color w:val="000000"/>
          <w:sz w:val="28"/>
        </w:rPr>
        <w:t>      Раздел 4.01. (а) Заемщик обязуется обеспечить исполнение Проекта с должной ответственностью и эффективностью и в соответствии с рациональными инженерными, финансовыми, экономическими и социальными требованиями практики.</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r>
        <w:br/>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r>
        <w:br/>
      </w:r>
      <w:r>
        <w:rPr>
          <w:rFonts w:ascii="Times New Roman"/>
          <w:b w:val="false"/>
          <w:i w:val="false"/>
          <w:color w:val="000000"/>
          <w:sz w:val="28"/>
        </w:rPr>
        <w:t>
      Раздел 4.03. (а) В процессе реализации Проекта Заемщик обязуется обеспечить найм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проектными решениями, спецификациями, графиками работ и строительными методами, приемлемыми для АБР. Заемщик обязуется предоставить либо обеспечить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Раздел 4.04. Заемщик обязуется убедиться в том,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Раздел 4.05. (а) Заемщик обязуется (i) вести либо обеспечить ведение отдельной отчетности для Проекта; (ii) проводить ежегодный аудит данных счетов и соответствующих финансовых отчетов в соответствии с четким применением соответствующих стандартов аудита, независимыми аудиторами, чьи квалификация, опыт работы и сфера компетенции отвечают требованиям АБР; (iii) предоставить АБР, по мере получения, но, ни в коей мере не позже чем по истечении девяти (9) месяцев с момента окончания каждого соответствующего фискального года, заверенные копии данных счетов и финансовых отчетов, прошедших аудит, и соответствующий отчет аудиторов (включая мнение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требованию АБР.</w:t>
      </w:r>
      <w:r>
        <w:br/>
      </w:r>
      <w:r>
        <w:rPr>
          <w:rFonts w:ascii="Times New Roman"/>
          <w:b w:val="false"/>
          <w:i w:val="false"/>
          <w:color w:val="000000"/>
          <w:sz w:val="28"/>
        </w:rPr>
        <w:t>
      (b) Заемщик обязуется предоставить АБР право, по требованию АБР,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 (a) и обязуется уполномочить и потребовать, чтобы любой из представителей аудиторов принял участие в данном обсуждении во время таких аудитов,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а также любые соответствующие записи и документы.</w:t>
      </w:r>
      <w:r>
        <w:br/>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экологическими, рациональными инженерными, финансовыми, экономическими и социальными мерами безопасности, а также в соответствии с процедурами эксплуатации и технического обслуживания дорог.</w:t>
      </w:r>
    </w:p>
    <w:p>
      <w:pPr>
        <w:spacing w:after="0"/>
        <w:ind w:left="0"/>
        <w:jc w:val="left"/>
      </w:pPr>
      <w:r>
        <w:rPr>
          <w:rFonts w:ascii="Times New Roman"/>
          <w:b/>
          <w:i w:val="false"/>
          <w:color w:val="000000"/>
        </w:rPr>
        <w:t xml:space="preserve"> СТАТЬЯ V Вступление в силу</w:t>
      </w:r>
    </w:p>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left"/>
      </w:pPr>
      <w:r>
        <w:rPr>
          <w:rFonts w:ascii="Times New Roman"/>
          <w:b/>
          <w:i w:val="false"/>
          <w:color w:val="000000"/>
        </w:rPr>
        <w:t xml:space="preserve"> СТАТЬЯ VI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r>
        <w:br/>
      </w:r>
      <w:r>
        <w:rPr>
          <w:rFonts w:ascii="Times New Roman"/>
          <w:b w:val="false"/>
          <w:i w:val="false"/>
          <w:color w:val="000000"/>
          <w:sz w:val="28"/>
        </w:rPr>
        <w:t xml:space="preserve">
      За </w:t>
      </w:r>
      <w:r>
        <w:rPr>
          <w:rFonts w:ascii="Times New Roman"/>
          <w:b w:val="false"/>
          <w:i w:val="false"/>
          <w:color w:val="000000"/>
          <w:sz w:val="28"/>
          <w:u w:val="single"/>
        </w:rPr>
        <w:t>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Факс:</w:t>
      </w:r>
      <w:r>
        <w:br/>
      </w:r>
      <w:r>
        <w:rPr>
          <w:rFonts w:ascii="Times New Roman"/>
          <w:b w:val="false"/>
          <w:i w:val="false"/>
          <w:color w:val="000000"/>
          <w:sz w:val="28"/>
        </w:rPr>
        <w:t>
      +7(7172)71 77 85</w:t>
      </w:r>
      <w:r>
        <w:br/>
      </w:r>
      <w:r>
        <w:rPr>
          <w:rFonts w:ascii="Times New Roman"/>
          <w:b w:val="false"/>
          <w:i w:val="false"/>
          <w:color w:val="000000"/>
          <w:sz w:val="28"/>
        </w:rPr>
        <w:t>
      За 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r>
        <w:br/>
      </w: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настояшего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xml:space="preserve">
АЗИАТСКИЙ БАНК РАЗВИТИЯ     </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1. Цель Проекта - содействие устойчивому экономическому развитию Заемщика путем повышения эффективности транспортной сети в Жамбылской области на участке обхода города Тараз Коридора ЦАРЭС 1 (Международного транзитного коридора Западная Европа-Западная Китайская Народная Республика).</w:t>
      </w:r>
      <w:r>
        <w:br/>
      </w:r>
      <w:r>
        <w:rPr>
          <w:rFonts w:ascii="Times New Roman"/>
          <w:b w:val="false"/>
          <w:i w:val="false"/>
          <w:color w:val="000000"/>
          <w:sz w:val="28"/>
        </w:rPr>
        <w:t>
      2. Проект должен включать в себя реконструкцию существующего участка дороги протяженностью 7,7 км II технической категории с двухполосным движением с переводом в I-б техническую категорию с цементобетонным покрытием и четырехполосным движением, а также строительство нового участка обхода города Тараз протяженностью 57,4 км II технической категории с асфальтобетонным покрытием и двухполосным движением в рамках Транспортного коридора ЦАРЭС 1.</w:t>
      </w:r>
      <w:r>
        <w:br/>
      </w:r>
      <w:r>
        <w:rPr>
          <w:rFonts w:ascii="Times New Roman"/>
          <w:b w:val="false"/>
          <w:i w:val="false"/>
          <w:color w:val="000000"/>
          <w:sz w:val="28"/>
        </w:rPr>
        <w:t>
      3. Завершение Проекта ожидается 31 декабря 2014 года.</w:t>
      </w:r>
    </w:p>
    <w:p>
      <w:pPr>
        <w:spacing w:after="0"/>
        <w:ind w:left="0"/>
        <w:jc w:val="left"/>
      </w:pPr>
      <w:r>
        <w:rPr>
          <w:rFonts w:ascii="Times New Roman"/>
          <w:b/>
          <w:i w:val="false"/>
          <w:color w:val="000000"/>
        </w:rPr>
        <w:t xml:space="preserve"> ПРИЛОЖЕНИЕ 2 График погашения займа</w:t>
      </w:r>
      <w:r>
        <w:br/>
      </w:r>
      <w:r>
        <w:rPr>
          <w:rFonts w:ascii="Times New Roman"/>
          <w:b/>
          <w:i w:val="false"/>
          <w:color w:val="000000"/>
        </w:rPr>
        <w:t>
(Проект Транспортного коридора ЦАРЭС 1 [обход города Тараз]</w:t>
      </w:r>
      <w:r>
        <w:br/>
      </w:r>
      <w:r>
        <w:rPr>
          <w:rFonts w:ascii="Times New Roman"/>
          <w:b/>
          <w:i w:val="false"/>
          <w:color w:val="000000"/>
        </w:rPr>
        <w:t>
[Международного транзитного коридора Западная Европа-Западная</w:t>
      </w:r>
      <w:r>
        <w:br/>
      </w:r>
      <w:r>
        <w:rPr>
          <w:rFonts w:ascii="Times New Roman"/>
          <w:b/>
          <w:i w:val="false"/>
          <w:color w:val="000000"/>
        </w:rPr>
        <w:t>
Китайская Народная Республика]</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89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w:t>
            </w:r>
            <w:r>
              <w:br/>
            </w:r>
            <w:r>
              <w:rPr>
                <w:rFonts w:ascii="Times New Roman"/>
                <w:b w:val="false"/>
                <w:i w:val="false"/>
                <w:color w:val="000000"/>
                <w:sz w:val="20"/>
              </w:rPr>
              <w:t>
(выраженный в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81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100.000 000</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востребовать на момент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xml:space="preserve">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p>
    <w:p>
      <w:pPr>
        <w:spacing w:after="0"/>
        <w:ind w:left="0"/>
        <w:jc w:val="left"/>
      </w:pPr>
      <w:r>
        <w:rPr>
          <w:rFonts w:ascii="Times New Roman"/>
          <w:b/>
          <w:i w:val="false"/>
          <w:color w:val="000000"/>
        </w:rPr>
        <w:t xml:space="preserve"> ПРИЛОЖЕНИЕ 3 Распределение и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r>
        <w:br/>
      </w: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(Упоминания понятий «Категория» в настоящем Приложении относятся к категории таблицы).</w:t>
      </w:r>
      <w:r>
        <w:br/>
      </w:r>
      <w:r>
        <w:rPr>
          <w:rFonts w:ascii="Times New Roman"/>
          <w:b w:val="false"/>
          <w:i w:val="false"/>
          <w:color w:val="000000"/>
          <w:sz w:val="28"/>
        </w:rPr>
        <w:t>
      </w:t>
      </w:r>
      <w:r>
        <w:rPr>
          <w:rFonts w:ascii="Times New Roman"/>
          <w:b w:val="false"/>
          <w:i w:val="false"/>
          <w:color w:val="000000"/>
          <w:sz w:val="28"/>
          <w:u w:val="single"/>
        </w:rPr>
        <w:t>Процентные значения финансирования АБР</w:t>
      </w:r>
      <w:r>
        <w:br/>
      </w: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r>
        <w:br/>
      </w:r>
      <w:r>
        <w:rPr>
          <w:rFonts w:ascii="Times New Roman"/>
          <w:b w:val="false"/>
          <w:i w:val="false"/>
          <w:color w:val="000000"/>
          <w:sz w:val="28"/>
        </w:rPr>
        <w:t>
      </w:t>
      </w:r>
      <w:r>
        <w:rPr>
          <w:rFonts w:ascii="Times New Roman"/>
          <w:b w:val="false"/>
          <w:i w:val="false"/>
          <w:color w:val="000000"/>
          <w:sz w:val="28"/>
          <w:u w:val="single"/>
        </w:rPr>
        <w:t>Перераспределение</w:t>
      </w:r>
      <w:r>
        <w:br/>
      </w: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r>
        <w:br/>
      </w:r>
      <w:r>
        <w:rPr>
          <w:rFonts w:ascii="Times New Roman"/>
          <w:b w:val="false"/>
          <w:i w:val="false"/>
          <w:color w:val="000000"/>
          <w:sz w:val="28"/>
        </w:rPr>
        <w:t xml:space="preserve">
       </w:t>
      </w:r>
      <w:r>
        <w:rPr>
          <w:rFonts w:ascii="Times New Roman"/>
          <w:b w:val="false"/>
          <w:i w:val="false"/>
          <w:color w:val="000000"/>
          <w:sz w:val="28"/>
          <w:u w:val="single"/>
        </w:rPr>
        <w:t>Процедура выплаты займа</w:t>
      </w:r>
      <w:r>
        <w:br/>
      </w: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p>
      <w:pPr>
        <w:spacing w:after="0"/>
        <w:ind w:left="0"/>
        <w:jc w:val="both"/>
      </w:pPr>
      <w:r>
        <w:rPr>
          <w:rFonts w:ascii="Times New Roman"/>
          <w:b w:val="false"/>
          <w:i w:val="false"/>
          <w:color w:val="000000"/>
          <w:sz w:val="28"/>
        </w:rPr>
        <w:t>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113"/>
        <w:gridCol w:w="4713"/>
        <w:gridCol w:w="4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И СНЯТИЕ СРЕДСТВ ЗАЙМА</w:t>
            </w:r>
            <w:r>
              <w:br/>
            </w:r>
            <w:r>
              <w:rPr>
                <w:rFonts w:ascii="Times New Roman"/>
                <w:b w:val="false"/>
                <w:i w:val="false"/>
                <w:color w:val="000000"/>
                <w:sz w:val="20"/>
              </w:rPr>
              <w:t>
(Проект Транспортного коридора ЦАРЭС 1 [Обход</w:t>
            </w:r>
            <w:r>
              <w:br/>
            </w:r>
            <w:r>
              <w:rPr>
                <w:rFonts w:ascii="Times New Roman"/>
                <w:b w:val="false"/>
                <w:i w:val="false"/>
                <w:color w:val="000000"/>
                <w:sz w:val="20"/>
              </w:rPr>
              <w:t>
города Тараз] [Международного транзитного коридора Западная</w:t>
            </w:r>
            <w:r>
              <w:br/>
            </w:r>
            <w:r>
              <w:rPr>
                <w:rFonts w:ascii="Times New Roman"/>
                <w:b w:val="false"/>
                <w:i w:val="false"/>
                <w:color w:val="000000"/>
                <w:sz w:val="20"/>
              </w:rPr>
              <w:t>
Европа-Западная Китайская Народная Республика]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w:t>
            </w:r>
            <w:r>
              <w:br/>
            </w:r>
            <w:r>
              <w:rPr>
                <w:rFonts w:ascii="Times New Roman"/>
                <w:b w:val="false"/>
                <w:i w:val="false"/>
                <w:color w:val="000000"/>
                <w:sz w:val="20"/>
              </w:rPr>
              <w:t>
ФИНАНСИРОВАНИЯ АБР</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распределенная для</w:t>
            </w:r>
            <w:r>
              <w:br/>
            </w:r>
            <w:r>
              <w:rPr>
                <w:rFonts w:ascii="Times New Roman"/>
                <w:b w:val="false"/>
                <w:i w:val="false"/>
                <w:color w:val="000000"/>
                <w:sz w:val="20"/>
              </w:rPr>
              <w:t>
финансирования АБР</w:t>
            </w:r>
            <w:r>
              <w:br/>
            </w:r>
            <w:r>
              <w:rPr>
                <w:rFonts w:ascii="Times New Roman"/>
                <w:b w:val="false"/>
                <w:i w:val="false"/>
                <w:color w:val="000000"/>
                <w:sz w:val="20"/>
              </w:rPr>
              <w:t>
($) Категория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финансирования</w:t>
            </w:r>
            <w:r>
              <w:br/>
            </w:r>
            <w:r>
              <w:rPr>
                <w:rFonts w:ascii="Times New Roman"/>
                <w:b w:val="false"/>
                <w:i w:val="false"/>
                <w:color w:val="000000"/>
                <w:sz w:val="20"/>
              </w:rPr>
              <w:t>
АБР со счета займа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процентов от общей</w:t>
            </w:r>
            <w:r>
              <w:br/>
            </w:r>
            <w:r>
              <w:rPr>
                <w:rFonts w:ascii="Times New Roman"/>
                <w:b w:val="false"/>
                <w:i w:val="false"/>
                <w:color w:val="000000"/>
                <w:sz w:val="20"/>
              </w:rPr>
              <w:t>
запрашиваемой суммы затрат</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ПРИЛОЖЕНИЕ 4 Закупки работ</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r>
        <w:br/>
      </w:r>
      <w:r>
        <w:rPr>
          <w:rFonts w:ascii="Times New Roman"/>
          <w:b w:val="false"/>
          <w:i w:val="false"/>
          <w:color w:val="000000"/>
          <w:sz w:val="28"/>
        </w:rPr>
        <w:t>
      Все закупки работ подлежат исполнению и контролю в соответствии с Руководством по закупкам.</w:t>
      </w:r>
      <w:r>
        <w:br/>
      </w:r>
      <w:r>
        <w:rPr>
          <w:rFonts w:ascii="Times New Roman"/>
          <w:b w:val="false"/>
          <w:i w:val="false"/>
          <w:color w:val="000000"/>
          <w:sz w:val="28"/>
        </w:rPr>
        <w:t>
      2. Все термины, используемые в этом Приложении и не определенные по-другому в настоящем Соглашении о займе, имеют значения, изложенные в Руководстве по закупкам.</w:t>
      </w:r>
      <w:r>
        <w:br/>
      </w:r>
      <w:r>
        <w:rPr>
          <w:rFonts w:ascii="Times New Roman"/>
          <w:b w:val="false"/>
          <w:i w:val="false"/>
          <w:color w:val="000000"/>
          <w:sz w:val="28"/>
        </w:rPr>
        <w:t xml:space="preserve">
       </w:t>
      </w:r>
      <w:r>
        <w:rPr>
          <w:rFonts w:ascii="Times New Roman"/>
          <w:b w:val="false"/>
          <w:i w:val="false"/>
          <w:color w:val="000000"/>
          <w:sz w:val="28"/>
          <w:u w:val="single"/>
        </w:rPr>
        <w:t>Закупка работ</w:t>
      </w:r>
      <w:r>
        <w:br/>
      </w:r>
      <w:r>
        <w:rPr>
          <w:rFonts w:ascii="Times New Roman"/>
          <w:b w:val="false"/>
          <w:i w:val="false"/>
          <w:color w:val="000000"/>
          <w:sz w:val="28"/>
        </w:rPr>
        <w:t>
      Работы будут приобретаться на основе международных конкурсных торгов.</w:t>
      </w:r>
      <w:r>
        <w:br/>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и пороговыми стоимостями, указанными в Плане закупок. Заемщик вправе модифицировать процедуру закупок или пороговые стоимости только при условии предварительного согласования с АБР, при этом все изменения должны отражаться в дополнениях к плану закупок.</w:t>
      </w:r>
      <w:r>
        <w:br/>
      </w: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r>
        <w:br/>
      </w:r>
      <w:r>
        <w:rPr>
          <w:rFonts w:ascii="Times New Roman"/>
          <w:b w:val="false"/>
          <w:i w:val="false"/>
          <w:color w:val="000000"/>
          <w:sz w:val="28"/>
        </w:rPr>
        <w:t>
      5. Заемщик не должен присуждать контракты на работы, включающих</w:t>
      </w:r>
      <w:r>
        <w:br/>
      </w:r>
      <w:r>
        <w:rPr>
          <w:rFonts w:ascii="Times New Roman"/>
          <w:b w:val="false"/>
          <w:i w:val="false"/>
          <w:color w:val="000000"/>
          <w:sz w:val="28"/>
        </w:rPr>
        <w:t>
воздействие на окружающую среду до тех пор пока:</w:t>
      </w:r>
      <w:r>
        <w:br/>
      </w:r>
      <w:r>
        <w:rPr>
          <w:rFonts w:ascii="Times New Roman"/>
          <w:b w:val="false"/>
          <w:i w:val="false"/>
          <w:color w:val="000000"/>
          <w:sz w:val="28"/>
        </w:rPr>
        <w:t>
      (а) завершенная ОВОС не была одобрена соответствующими органами Заемщика; и</w:t>
      </w:r>
      <w:r>
        <w:br/>
      </w:r>
      <w:r>
        <w:rPr>
          <w:rFonts w:ascii="Times New Roman"/>
          <w:b w:val="false"/>
          <w:i w:val="false"/>
          <w:color w:val="000000"/>
          <w:sz w:val="28"/>
        </w:rPr>
        <w:t>
      (b) пока Заемщик не включит соответствующие положения из ОВОС в контракты на работы.</w:t>
      </w:r>
      <w:r>
        <w:br/>
      </w:r>
      <w:r>
        <w:rPr>
          <w:rFonts w:ascii="Times New Roman"/>
          <w:b w:val="false"/>
          <w:i w:val="false"/>
          <w:color w:val="000000"/>
          <w:sz w:val="28"/>
        </w:rPr>
        <w:t>
      6. Заемщик не должен заключать контракты на работы, которые включают принудительное переселение до того как Заемщик не подготовит и представит АБР окончательный ПВЗП на основе рабочего проекта и не получит одобрение АБР такого ПВЗП.</w:t>
      </w:r>
      <w:r>
        <w:br/>
      </w: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r>
        <w:br/>
      </w:r>
      <w:r>
        <w:rPr>
          <w:rFonts w:ascii="Times New Roman"/>
          <w:b w:val="false"/>
          <w:i w:val="false"/>
          <w:color w:val="000000"/>
          <w:sz w:val="28"/>
        </w:rPr>
        <w:t>
      7. (а) Заемщик обязуется обеспечить, чтобы приобретенные работы</w:t>
      </w:r>
      <w:r>
        <w:br/>
      </w:r>
      <w:r>
        <w:rPr>
          <w:rFonts w:ascii="Times New Roman"/>
          <w:b w:val="false"/>
          <w:i w:val="false"/>
          <w:color w:val="000000"/>
          <w:sz w:val="28"/>
        </w:rPr>
        <w:t>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любое право третьих лиц на промышленную или интеллектуальную собственность или требование;</w:t>
      </w:r>
      <w:r>
        <w:br/>
      </w:r>
      <w:r>
        <w:rPr>
          <w:rFonts w:ascii="Times New Roman"/>
          <w:b w:val="false"/>
          <w:i w:val="false"/>
          <w:color w:val="000000"/>
          <w:sz w:val="28"/>
        </w:rPr>
        <w:t>
      (b) Заемщик обязуется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w:t>
      </w:r>
      <w:r>
        <w:br/>
      </w: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r>
        <w:br/>
      </w:r>
      <w:r>
        <w:rPr>
          <w:rFonts w:ascii="Times New Roman"/>
          <w:b w:val="false"/>
          <w:i w:val="false"/>
          <w:color w:val="000000"/>
          <w:sz w:val="28"/>
        </w:rPr>
        <w:t>
      8. Все контракты, приобретаемые в соответствии с международными конкурсными процедурами, подлежат предварительному рассмотрению АБР.</w:t>
      </w:r>
      <w:r>
        <w:br/>
      </w:r>
      <w:r>
        <w:rPr>
          <w:rFonts w:ascii="Times New Roman"/>
          <w:b w:val="false"/>
          <w:i w:val="false"/>
          <w:color w:val="000000"/>
          <w:sz w:val="28"/>
        </w:rPr>
        <w:t>
      9. Заемщик должен получить одобрение со стороны АБР, прежде чем:</w:t>
      </w:r>
      <w:r>
        <w:br/>
      </w:r>
      <w:r>
        <w:rPr>
          <w:rFonts w:ascii="Times New Roman"/>
          <w:b w:val="false"/>
          <w:i w:val="false"/>
          <w:color w:val="000000"/>
          <w:sz w:val="28"/>
        </w:rPr>
        <w:t>
      (a) предоставить продление установленного периода на завершение работ по контракту;</w:t>
      </w:r>
      <w:r>
        <w:br/>
      </w:r>
      <w:r>
        <w:rPr>
          <w:rFonts w:ascii="Times New Roman"/>
          <w:b w:val="false"/>
          <w:i w:val="false"/>
          <w:color w:val="000000"/>
          <w:sz w:val="28"/>
        </w:rPr>
        <w:t>
      (b) согласиться на любые изменения или отказ по условиям работ по контракту, в том числе любые изменения порядка, исходя из пунктов (с) и (d), представленных ниже;</w:t>
      </w:r>
      <w:r>
        <w:br/>
      </w:r>
      <w:r>
        <w:rPr>
          <w:rFonts w:ascii="Times New Roman"/>
          <w:b w:val="false"/>
          <w:i w:val="false"/>
          <w:color w:val="000000"/>
          <w:sz w:val="28"/>
        </w:rPr>
        <w:t>
      (c) вопросы изменения порядка работ по контракту, которые будут в общей сумме увеличивать первоначальную цену контракта (во избежание сомнений, такая общая сумма должна учитывать любые предыдущие или одновременные изменения в порядке или распоряжений по такому договору), или</w:t>
      </w:r>
      <w:r>
        <w:br/>
      </w:r>
      <w:r>
        <w:rPr>
          <w:rFonts w:ascii="Times New Roman"/>
          <w:b w:val="false"/>
          <w:i w:val="false"/>
          <w:color w:val="000000"/>
          <w:sz w:val="28"/>
        </w:rPr>
        <w:t>
      (d) вопросы изменения объемов работ по контракту, которые будут меняться более чем на 15 % от первоначальной цены контракта (либо посредством увеличения, либо уменьшения), даже если суммарный эффект такого изменения порядка в общей сумме не увеличит первоначальную цену контракта. Во избежание сомнений, такая общая сумма должна учитывать любые предыдущие или одновременные изменения в порядке или распоряжений по такому договору.</w:t>
      </w:r>
      <w:r>
        <w:br/>
      </w:r>
      <w:r>
        <w:rPr>
          <w:rFonts w:ascii="Times New Roman"/>
          <w:b w:val="false"/>
          <w:i w:val="false"/>
          <w:color w:val="000000"/>
          <w:sz w:val="28"/>
        </w:rPr>
        <w:t>
      10. АБР должен отвечать на каждый запрос на утверждение в соответствии с вышеуказанным пунктом 9, в течение 7 рабочих дней (в Маниле) после получения АБР такого запроса. Такой ответ будет означать, что запрос: (а) утвержден, (b) отклонен, (с) решение по нему отложено до получения дополнительной информации и документации или (d) решение по нему отложено до его рассмотрения комитета по закупкам АБР, в каждом случае, как это определено АБР. Если АБР не отвечает в течение 7 рабочих дней (в Маниле) после получения АБР такого запроса, запрос (за исключением, если этот запрос подлежит рассмотрению Комитетом по закупкам АБР) считается утвержденным АБР. В случае (с) Заемщик должен незамедлительно предоставить запрашиваемую информацию или документацию в АБР, и АБР должен ответить на соответствующий запрос в течение 7 рабочих дней (в Маниле) по получении запрашиваемой информации или документации, удовлетворяющей АБР. В случае (d), АБР должен уведомить Заемщика о решении комитета по закупкам в течение 7 рабочих дней (в Маниле) после принятия такого решения комитетом по закупкам.</w:t>
      </w:r>
      <w:r>
        <w:br/>
      </w:r>
      <w:r>
        <w:rPr>
          <w:rFonts w:ascii="Times New Roman"/>
          <w:b w:val="false"/>
          <w:i w:val="false"/>
          <w:color w:val="000000"/>
          <w:sz w:val="28"/>
        </w:rPr>
        <w:t>
      11. Заемщик обязан, либо обязан обеспечить, чтобы МТК:</w:t>
      </w:r>
      <w:r>
        <w:br/>
      </w:r>
      <w:r>
        <w:rPr>
          <w:rFonts w:ascii="Times New Roman"/>
          <w:b w:val="false"/>
          <w:i w:val="false"/>
          <w:color w:val="000000"/>
          <w:sz w:val="28"/>
        </w:rPr>
        <w:t>
      (a) представила АБР в течение 7 дней копию всех документов по продлению сроков, изменений и отказов от контрактов (включая изменение порядка) после одобрения АБР в соответствии с вышеуказанным  пунктом 9 и дополнительные соглашения к контрактам, а также</w:t>
      </w:r>
      <w:r>
        <w:br/>
      </w:r>
      <w:r>
        <w:rPr>
          <w:rFonts w:ascii="Times New Roman"/>
          <w:b w:val="false"/>
          <w:i w:val="false"/>
          <w:color w:val="000000"/>
          <w:sz w:val="28"/>
        </w:rPr>
        <w:t xml:space="preserve">
      (b) вести учет всех изменений порядка всех работ по контрактам, которые не требуют предварительного одобрения АБР в соответствии с вышеуказанным пунктом 9, и представлять такой отчет на рассмотрение АБР каждые 6 месяцев. </w:t>
      </w:r>
    </w:p>
    <w:p>
      <w:pPr>
        <w:spacing w:after="0"/>
        <w:ind w:left="0"/>
        <w:jc w:val="left"/>
      </w:pPr>
      <w:r>
        <w:rPr>
          <w:rFonts w:ascii="Times New Roman"/>
          <w:b/>
          <w:i w:val="false"/>
          <w:color w:val="000000"/>
        </w:rPr>
        <w:t xml:space="preserve"> ПРИЛОЖЕНИЕ 5 Исполнение Проекта: финансовые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r>
        <w:br/>
      </w:r>
      <w:r>
        <w:rPr>
          <w:rFonts w:ascii="Times New Roman"/>
          <w:b w:val="false"/>
          <w:i w:val="false"/>
          <w:color w:val="000000"/>
          <w:sz w:val="28"/>
        </w:rPr>
        <w:t>
      1. Заемщик и МТК обязаны гарантировать, что Проект реализуется в соответствии с определенными мероприятиями, изложенными в РУП. Любые последующие изменения в РУП вступает в силу только после утверждения таких изменений Заемщиком (через МТК) и АБР. В случае любого несоответствия между РУП и настоящим Соглашением о займе, положения настоящего Соглашения о займе будут иметь преимущественную силу.</w:t>
      </w:r>
      <w:r>
        <w:br/>
      </w:r>
      <w:r>
        <w:rPr>
          <w:rFonts w:ascii="Times New Roman"/>
          <w:b w:val="false"/>
          <w:i w:val="false"/>
          <w:color w:val="000000"/>
          <w:sz w:val="28"/>
        </w:rPr>
        <w:t>
      </w:t>
      </w:r>
      <w:r>
        <w:rPr>
          <w:rFonts w:ascii="Times New Roman"/>
          <w:b w:val="false"/>
          <w:i w:val="false"/>
          <w:color w:val="000000"/>
          <w:sz w:val="28"/>
          <w:u w:val="single"/>
        </w:rPr>
        <w:t>Окружающая среда</w:t>
      </w:r>
      <w:r>
        <w:br/>
      </w:r>
      <w:r>
        <w:rPr>
          <w:rFonts w:ascii="Times New Roman"/>
          <w:b w:val="false"/>
          <w:i w:val="false"/>
          <w:color w:val="000000"/>
          <w:sz w:val="28"/>
        </w:rPr>
        <w:t>
      2. Заемщик должен поручить МТК гарантировать, что подготовка, проектирование, строительство, реализация, эксплуатация и вывод из эксплуатации Проекта соответствуют: (а) всем применимым законам и нормативным актам Заемщика, связанных с окружающей средой, здоровьем и безопасностью, (b) Политике в отношении окружающей среды и (в) всем мерам и требованиям, изложенным в ОВОС и ГТУОС, и любым корректирующим или превентивным действия, изложенным в Политике в отношении докладов о результатах мониторинга. Заемщик обязан, поручить МТК представить АБР обновленную версию ГТУОС до начала работ.</w:t>
      </w:r>
      <w:r>
        <w:br/>
      </w:r>
      <w:r>
        <w:rPr>
          <w:rFonts w:ascii="Times New Roman"/>
          <w:b w:val="false"/>
          <w:i w:val="false"/>
          <w:color w:val="000000"/>
          <w:sz w:val="28"/>
        </w:rPr>
        <w:t>
      </w:t>
      </w:r>
      <w:r>
        <w:rPr>
          <w:rFonts w:ascii="Times New Roman"/>
          <w:b w:val="false"/>
          <w:i w:val="false"/>
          <w:color w:val="000000"/>
          <w:sz w:val="28"/>
          <w:u w:val="single"/>
        </w:rPr>
        <w:t>Выкуп земель и переселение</w:t>
      </w:r>
      <w:r>
        <w:br/>
      </w:r>
      <w:r>
        <w:rPr>
          <w:rFonts w:ascii="Times New Roman"/>
          <w:b w:val="false"/>
          <w:i w:val="false"/>
          <w:color w:val="000000"/>
          <w:sz w:val="28"/>
        </w:rPr>
        <w:t>
      3. Заемщик поручит МТК убедиться в том, что:</w:t>
      </w:r>
      <w:r>
        <w:br/>
      </w:r>
      <w:r>
        <w:rPr>
          <w:rFonts w:ascii="Times New Roman"/>
          <w:b w:val="false"/>
          <w:i w:val="false"/>
          <w:color w:val="000000"/>
          <w:sz w:val="28"/>
        </w:rPr>
        <w:t>
      (a) все земельные участки и полоса отвода, необходимые для Проекта, доступны для выполнения работ по контракту в соответствии с графиком согласованного в соответствующем контракте на работы; и</w:t>
      </w:r>
      <w:r>
        <w:br/>
      </w:r>
      <w:r>
        <w:rPr>
          <w:rFonts w:ascii="Times New Roman"/>
          <w:b w:val="false"/>
          <w:i w:val="false"/>
          <w:color w:val="000000"/>
          <w:sz w:val="28"/>
        </w:rPr>
        <w:t>
      (b) все приобретенные земли и мероприятия по переселению осуществляется в соответствии с: (i) всеми применимыми законами и нормативными актами Заемщика, связанными с приобретением земли и принудительным переселением, и (ii) Политикой в области вынужденного переселения, как предусмотрено в мерах и требованиях ПВЗП, и любыми корректирующими или превентивными действиями, изложенными в Политике в отношении докладов о результатах мониторинга.</w:t>
      </w:r>
      <w:r>
        <w:br/>
      </w:r>
      <w:r>
        <w:rPr>
          <w:rFonts w:ascii="Times New Roman"/>
          <w:b w:val="false"/>
          <w:i w:val="false"/>
          <w:color w:val="000000"/>
          <w:sz w:val="28"/>
        </w:rPr>
        <w:t>
      4. Не ограничивая применение политики в области вынужденного переселения или ПВЗП, Заемщик поручит МТК обеспечить, чтобы ни физическое, ни экономическое переселение не имело место в связи с Проектом, пока:</w:t>
      </w:r>
      <w:r>
        <w:br/>
      </w:r>
      <w:r>
        <w:rPr>
          <w:rFonts w:ascii="Times New Roman"/>
          <w:b w:val="false"/>
          <w:i w:val="false"/>
          <w:color w:val="000000"/>
          <w:sz w:val="28"/>
        </w:rPr>
        <w:t>
      (а) Заемщик не получит одобрение АБР по окончательному варианту ПВЗП, и это ПВЗП не будет раскрыто затронутым лицам; и</w:t>
      </w:r>
      <w:r>
        <w:br/>
      </w:r>
      <w:r>
        <w:rPr>
          <w:rFonts w:ascii="Times New Roman"/>
          <w:b w:val="false"/>
          <w:i w:val="false"/>
          <w:color w:val="000000"/>
          <w:sz w:val="28"/>
        </w:rPr>
        <w:t>
      (b) компенсации и другие выплаты были предоставлены пострадавшим в соответствии с ПВЗП;</w:t>
      </w:r>
      <w:r>
        <w:br/>
      </w:r>
      <w:r>
        <w:rPr>
          <w:rFonts w:ascii="Times New Roman"/>
          <w:b w:val="false"/>
          <w:i w:val="false"/>
          <w:color w:val="000000"/>
          <w:sz w:val="28"/>
        </w:rPr>
        <w:t>
      (c) программа совокупного дохода и средства для существования были созданы в соответствии с ПВЗП; и</w:t>
      </w:r>
      <w:r>
        <w:br/>
      </w:r>
      <w:r>
        <w:rPr>
          <w:rFonts w:ascii="Times New Roman"/>
          <w:b w:val="false"/>
          <w:i w:val="false"/>
          <w:color w:val="000000"/>
          <w:sz w:val="28"/>
        </w:rPr>
        <w:t>
      (d) Заемщик представил АБР отчет, подтвержденный независимым экспертом, назначенным Заемщиком и АБР, по выполнению требований настоящего пункта, и АБР одобрил этот доклад.</w:t>
      </w:r>
      <w:r>
        <w:br/>
      </w:r>
      <w:r>
        <w:rPr>
          <w:rFonts w:ascii="Times New Roman"/>
          <w:b w:val="false"/>
          <w:i w:val="false"/>
          <w:color w:val="000000"/>
          <w:sz w:val="28"/>
        </w:rPr>
        <w:t>
      </w:t>
      </w:r>
      <w:r>
        <w:rPr>
          <w:rFonts w:ascii="Times New Roman"/>
          <w:b w:val="false"/>
          <w:i w:val="false"/>
          <w:color w:val="000000"/>
          <w:sz w:val="28"/>
          <w:u w:val="single"/>
        </w:rPr>
        <w:t>Местное население</w:t>
      </w:r>
      <w:r>
        <w:br/>
      </w:r>
      <w:r>
        <w:rPr>
          <w:rFonts w:ascii="Times New Roman"/>
          <w:b w:val="false"/>
          <w:i w:val="false"/>
          <w:color w:val="000000"/>
          <w:sz w:val="28"/>
        </w:rPr>
        <w:t>
      5. Заемщик должен поручить МТК гарантировать, что Проект не оказывает какого-либо воздействия на местное население по смыслу ПМЗ. Если такое воздействие имеет место, то Заемщик должен поручить МТК подготовить, раскрыть и реализовывать план по местному населению в соответствии со всеми применимыми законами и правилами Заемщика, связанных с местным населением и МТК.</w:t>
      </w:r>
      <w:r>
        <w:br/>
      </w: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политики</w:t>
      </w:r>
      <w:r>
        <w:br/>
      </w:r>
      <w:r>
        <w:rPr>
          <w:rFonts w:ascii="Times New Roman"/>
          <w:b w:val="false"/>
          <w:i w:val="false"/>
          <w:color w:val="000000"/>
          <w:sz w:val="28"/>
        </w:rPr>
        <w:t>
      6. Заемщик должен поручить МТК предоставить необходимые бюджетные и человеческие ресурсы для полного осуществления ПУОС и ПВЗП.</w:t>
      </w:r>
      <w:r>
        <w:br/>
      </w:r>
      <w:r>
        <w:rPr>
          <w:rFonts w:ascii="Times New Roman"/>
          <w:b w:val="false"/>
          <w:i w:val="false"/>
          <w:color w:val="000000"/>
          <w:sz w:val="28"/>
        </w:rPr>
        <w:t>
      7. Заемщик должен поручить МТК гарантировать,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(a) соблюдать меры, имеющие отношение к подрядчику, изложенные в ОВОС и ПУОС и ПВЗП, и любые корректирующие или превентивные действия, изложенные в политике в отношении докладов о результатах мониторинга;</w:t>
      </w:r>
      <w:r>
        <w:br/>
      </w:r>
      <w:r>
        <w:rPr>
          <w:rFonts w:ascii="Times New Roman"/>
          <w:b w:val="false"/>
          <w:i w:val="false"/>
          <w:color w:val="000000"/>
          <w:sz w:val="28"/>
        </w:rPr>
        <w:t xml:space="preserve">
      (b) предоставить бюджетные средства на все эти экологические и социальные меры; а также </w:t>
      </w:r>
      <w:r>
        <w:br/>
      </w:r>
      <w:r>
        <w:rPr>
          <w:rFonts w:ascii="Times New Roman"/>
          <w:b w:val="false"/>
          <w:i w:val="false"/>
          <w:color w:val="000000"/>
          <w:sz w:val="28"/>
        </w:rPr>
        <w:t>
      (с) представить МТК письменное уведомление о любых непредвиденных рисках, связанных с экологией, переселением (в том числе временным приобретением земли и мероприятий по переселению, а также соглашений, заключенных с затронутыми лицами) или местным населением, и воздействием, которые возникают в процессе строительства, реализации или эксплуатации Проекта и которые не были рассмотрены в ОВОС, ПУОС и ПВЗП.</w:t>
      </w:r>
      <w:r>
        <w:br/>
      </w:r>
      <w:r>
        <w:rPr>
          <w:rFonts w:ascii="Times New Roman"/>
          <w:b w:val="false"/>
          <w:i w:val="false"/>
          <w:color w:val="000000"/>
          <w:sz w:val="28"/>
        </w:rPr>
        <w:t>
      </w:t>
      </w:r>
      <w:r>
        <w:rPr>
          <w:rFonts w:ascii="Times New Roman"/>
          <w:b w:val="false"/>
          <w:i w:val="false"/>
          <w:color w:val="000000"/>
          <w:sz w:val="28"/>
          <w:u w:val="single"/>
        </w:rPr>
        <w:t>Политика в отношении отчетов о результатах мониторинга</w:t>
      </w:r>
      <w:r>
        <w:br/>
      </w:r>
      <w:r>
        <w:rPr>
          <w:rFonts w:ascii="Times New Roman"/>
          <w:b w:val="false"/>
          <w:i w:val="false"/>
          <w:color w:val="000000"/>
          <w:sz w:val="28"/>
        </w:rPr>
        <w:t>
      8. Заемщик должен поручить МТК выполнить следующее:</w:t>
      </w:r>
      <w:r>
        <w:br/>
      </w:r>
      <w:r>
        <w:rPr>
          <w:rFonts w:ascii="Times New Roman"/>
          <w:b w:val="false"/>
          <w:i w:val="false"/>
          <w:color w:val="000000"/>
          <w:sz w:val="28"/>
        </w:rPr>
        <w:t>
      (a) представить в АБР политика в отношении отчетов о результатах мониторинга (i) раз в полгода в период строительства и (ii), ежегодно во время эксплуатации и раскрывать соответствующую информацию из таких отчетов затронутым лиц незамедлительно после представления;</w:t>
      </w:r>
      <w:r>
        <w:br/>
      </w:r>
      <w:r>
        <w:rPr>
          <w:rFonts w:ascii="Times New Roman"/>
          <w:b w:val="false"/>
          <w:i w:val="false"/>
          <w:color w:val="000000"/>
          <w:sz w:val="28"/>
        </w:rPr>
        <w:t>
      (b) если на каком-либо этапе во время строительства, реализации и эксплуатации Проекта возникают риски в отношении окружающей среды и/или воздействия, не предусмотренные в ОВОС, ПУОС и ПВЗП, необходимо незамедлительно информировать АБР о возникновении таких рисков и воздействий, с подробным описанием событий и предлагаемым планом корректирующих действий;</w:t>
      </w:r>
      <w:r>
        <w:br/>
      </w:r>
      <w:r>
        <w:rPr>
          <w:rFonts w:ascii="Times New Roman"/>
          <w:b w:val="false"/>
          <w:i w:val="false"/>
          <w:color w:val="000000"/>
          <w:sz w:val="28"/>
        </w:rPr>
        <w:t>
      (c) не позднее даты заключения контракта на работы назначить квалифицированных и опытных внешних экспертов (эти эксперты будут финансироваться из бюджета по управлению проектом в рамках займа № 2503 между Заемщиком и АБР) в рамках процесса отбора и технического задания приемлемого для АБР, проверять информацию, получаемую посредством мониторинга Проекта, а также содействовать проведению любой деятельности по проверке таких внешних экспертов; и</w:t>
      </w:r>
      <w:r>
        <w:br/>
      </w:r>
      <w:r>
        <w:rPr>
          <w:rFonts w:ascii="Times New Roman"/>
          <w:b w:val="false"/>
          <w:i w:val="false"/>
          <w:color w:val="000000"/>
          <w:sz w:val="28"/>
        </w:rPr>
        <w:t>
      (d) сообшать о любых фактических или потенциальных нарушениях соблюдения мер и требований, изложенных в ПУОС или ПВЗП сразу же после того как стало известно о таком нарушении.</w:t>
      </w:r>
      <w:r>
        <w:br/>
      </w: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r>
        <w:br/>
      </w:r>
      <w:r>
        <w:rPr>
          <w:rFonts w:ascii="Times New Roman"/>
          <w:b w:val="false"/>
          <w:i w:val="false"/>
          <w:color w:val="000000"/>
          <w:sz w:val="28"/>
        </w:rPr>
        <w:t>
      9. Заемщик должен обеспечить,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в приложении 5 ПМЗ.</w:t>
      </w:r>
      <w:r>
        <w:br/>
      </w:r>
      <w:r>
        <w:rPr>
          <w:rFonts w:ascii="Times New Roman"/>
          <w:b w:val="false"/>
          <w:i w:val="false"/>
          <w:color w:val="000000"/>
          <w:sz w:val="28"/>
        </w:rPr>
        <w:t>
      </w:t>
      </w:r>
      <w:r>
        <w:rPr>
          <w:rFonts w:ascii="Times New Roman"/>
          <w:b w:val="false"/>
          <w:i w:val="false"/>
          <w:color w:val="000000"/>
          <w:sz w:val="28"/>
          <w:u w:val="single"/>
        </w:rPr>
        <w:t>Охрана труда</w:t>
      </w:r>
      <w:r>
        <w:br/>
      </w:r>
      <w:r>
        <w:rPr>
          <w:rFonts w:ascii="Times New Roman"/>
          <w:b w:val="false"/>
          <w:i w:val="false"/>
          <w:color w:val="000000"/>
          <w:sz w:val="28"/>
        </w:rPr>
        <w:t>
      10. Заемщик поручит МТК обеспечить включение положений в контракты на работы с тем, чтобы обеспечить соблюдение строительными подрядчиками: (а) применимых основных стандартов труда, трудового законодательства и применения соответствующих норм безопасности труда на рабочем месте; (b) равной оплаты мужчинам и женщинам за равный труд; (с) неиспользование детского труда при строительстве и мероприятиях по техническому обслуживанию дорог; (d) в возможном объеме максимального трудоустройства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(е) содействовать трудоустройству опытных и неопытных работающих женщин.</w:t>
      </w:r>
      <w:r>
        <w:br/>
      </w:r>
      <w:r>
        <w:rPr>
          <w:rFonts w:ascii="Times New Roman"/>
          <w:b w:val="false"/>
          <w:i w:val="false"/>
          <w:color w:val="000000"/>
          <w:sz w:val="28"/>
        </w:rPr>
        <w:t>
      </w:t>
      </w:r>
      <w:r>
        <w:rPr>
          <w:rFonts w:ascii="Times New Roman"/>
          <w:b w:val="false"/>
          <w:i w:val="false"/>
          <w:color w:val="000000"/>
          <w:sz w:val="28"/>
          <w:u w:val="single"/>
        </w:rPr>
        <w:t>Охрана здоровья</w:t>
      </w:r>
      <w:r>
        <w:br/>
      </w:r>
      <w:r>
        <w:rPr>
          <w:rFonts w:ascii="Times New Roman"/>
          <w:b w:val="false"/>
          <w:i w:val="false"/>
          <w:color w:val="000000"/>
          <w:sz w:val="28"/>
        </w:rPr>
        <w:t>
      11. Заемщик поручит МТК обеспечить распространить информацию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w:t>
      </w:r>
      <w:r>
        <w:br/>
      </w:r>
      <w:r>
        <w:rPr>
          <w:rFonts w:ascii="Times New Roman"/>
          <w:b w:val="false"/>
          <w:i w:val="false"/>
          <w:color w:val="000000"/>
          <w:sz w:val="28"/>
        </w:rPr>
        <w:t>
      Софинансирование</w:t>
      </w:r>
      <w:r>
        <w:br/>
      </w:r>
      <w:r>
        <w:rPr>
          <w:rFonts w:ascii="Times New Roman"/>
          <w:b w:val="false"/>
          <w:i w:val="false"/>
          <w:color w:val="000000"/>
          <w:sz w:val="28"/>
        </w:rPr>
        <w:t>
      12.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убедиться в том, что МТК включает все измененные потребности в финансировании для реализации Проекта в его ежегодных программах развития. Заемщик обязуется и согласен (i) профинансировать любой перерасход средств, связанный с реализацией данного Проекта и (ii) что не запросит АБР предоставить дополнительное финансирование перерасходов, связанных с данным Проектом.</w:t>
      </w:r>
      <w:r>
        <w:br/>
      </w:r>
      <w:r>
        <w:rPr>
          <w:rFonts w:ascii="Times New Roman"/>
          <w:b w:val="false"/>
          <w:i w:val="false"/>
          <w:color w:val="000000"/>
          <w:sz w:val="28"/>
        </w:rPr>
        <w:t>
      Качество строительства</w:t>
      </w:r>
      <w:r>
        <w:br/>
      </w:r>
      <w:r>
        <w:rPr>
          <w:rFonts w:ascii="Times New Roman"/>
          <w:b w:val="false"/>
          <w:i w:val="false"/>
          <w:color w:val="000000"/>
          <w:sz w:val="28"/>
        </w:rPr>
        <w:t>
      13.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r>
        <w:br/>
      </w:r>
      <w:r>
        <w:rPr>
          <w:rFonts w:ascii="Times New Roman"/>
          <w:b w:val="false"/>
          <w:i w:val="false"/>
          <w:color w:val="000000"/>
          <w:sz w:val="28"/>
        </w:rPr>
        <w:t>
      </w:t>
      </w:r>
      <w:r>
        <w:rPr>
          <w:rFonts w:ascii="Times New Roman"/>
          <w:b w:val="false"/>
          <w:i w:val="false"/>
          <w:color w:val="000000"/>
          <w:sz w:val="28"/>
          <w:u w:val="single"/>
        </w:rPr>
        <w:t>Недопущение незаконной торговли</w:t>
      </w:r>
      <w:r>
        <w:br/>
      </w:r>
      <w:r>
        <w:rPr>
          <w:rFonts w:ascii="Times New Roman"/>
          <w:b w:val="false"/>
          <w:i w:val="false"/>
          <w:color w:val="000000"/>
          <w:sz w:val="28"/>
        </w:rPr>
        <w:t>
      14. Заемщик полностью обеспечит выполнение на проектной дороге надежных и строгих мер, предусмотренных законодательством для выявления и предотвращения незаконной торговли людьми, диких животных, редких видов животных и контролируемых веществ.</w:t>
      </w:r>
      <w:r>
        <w:br/>
      </w:r>
      <w:r>
        <w:rPr>
          <w:rFonts w:ascii="Times New Roman"/>
          <w:b w:val="false"/>
          <w:i w:val="false"/>
          <w:color w:val="000000"/>
          <w:sz w:val="28"/>
        </w:rPr>
        <w:t>
      </w:t>
      </w:r>
      <w:r>
        <w:rPr>
          <w:rFonts w:ascii="Times New Roman"/>
          <w:b w:val="false"/>
          <w:i w:val="false"/>
          <w:color w:val="000000"/>
          <w:sz w:val="28"/>
          <w:u w:val="single"/>
        </w:rPr>
        <w:t>Борьба с коррупцией</w:t>
      </w:r>
      <w:r>
        <w:br/>
      </w:r>
      <w:r>
        <w:rPr>
          <w:rFonts w:ascii="Times New Roman"/>
          <w:b w:val="false"/>
          <w:i w:val="false"/>
          <w:color w:val="000000"/>
          <w:sz w:val="28"/>
        </w:rPr>
        <w:t>
      15. Заемщик и МТК обязуются: (а) следовать политике АБР по борьбе с коррупцией (от 1998 года, с поправками на настоящее время) и соглашаются,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любому такому расследованию в необходимой степени для оказания поддержки для удовлетворительного завершения любого такого расследования.</w:t>
      </w:r>
      <w:r>
        <w:br/>
      </w:r>
      <w:r>
        <w:rPr>
          <w:rFonts w:ascii="Times New Roman"/>
          <w:b w:val="false"/>
          <w:i w:val="false"/>
          <w:color w:val="000000"/>
          <w:sz w:val="28"/>
        </w:rPr>
        <w:t xml:space="preserve">
      16. Заемщик поручит МТК обеспечить, что положения по борьбе с коррупцией, приемлемые для АБР, были включены в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поставщиков услуг, относящихся к Проекту.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