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efd" w14:textId="c49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Соглашение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№ 688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по вопросам образования, науки и культуры</w:t>
      </w:r>
      <w:r>
        <w:br/>
      </w:r>
      <w:r>
        <w:rPr>
          <w:rFonts w:ascii="Times New Roman"/>
          <w:b/>
          <w:i w:val="false"/>
          <w:color w:val="000000"/>
        </w:rPr>
        <w:t>
(ЮНЕСКО) о создании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Центрально-Азиатского регионального гляциологического центра</w:t>
      </w:r>
      <w:r>
        <w:br/>
      </w:r>
      <w:r>
        <w:rPr>
          <w:rFonts w:ascii="Times New Roman"/>
          <w:b/>
          <w:i w:val="false"/>
          <w:color w:val="000000"/>
        </w:rPr>
        <w:t>
(категории 2)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Генеральный директор Организации Объединенных Наций по вопросам образования, науки и культуры, именуемые далее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резолюцию 36 C/22, в соответствии с которой Генеральная конференция ЮНЕСКО стремится содействовать международному сотрудничеству путем создания Центрально-Азиатского регионального гляциологического центра в Алматы,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Генеральный директор уполномочена Генеральной конференцией ЮНЕСКО заключить с Правительством Республики Казахстан соглашение в соответствии с проектом, который был представлен Генеральной конференции ЮНЕСКО,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определить в настоящем Соглашении условия, на которых будет осуществляться вклад в деятельность указанного Центра,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«ЮНЕСКО» означает Организацию Объединенных Наций по вопросам образования, науки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«Правительство» означает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«Центр» означает Центрально-Азиатский региональный гляциологический центр в Алматы, Казахстан.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принимает в течение 2012 года все необходимые меры для создания Центра в Республике Казахстан в соответствии с положениями настоящего Соглашения.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ставит целью определить условия сотрудничества между ЮНЕСКО и Правительством, а также вытекающие из него права и обязательства Сторон.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является учреждением, независимым от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обладает на территории Республики Казахстан функциональной автономией, необходимой для выполнения его мероприятий, и правоспособностью: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обращаться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приобретать и отчуждать движимое и недвижимое имущество.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Центра должен содержать положения,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правового статуса, наделяющего этот Центр в соответствии с национальным законодательством Республики Казахстан правоспособностью, необходимой для того, чтобы он мог осуществлять свои функции, получать субсидии, принимать вознаграждение за оказанные услуги и приобретать и отчуждать имущество, необходимое для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структуры управления Центром, обеспечивающей представительство ЮНЕСКО в его руководящих органах.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выполняет следующие функции/задачи: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укрепление координации научно-исследовательской деятельности и обмена информацией между различными организациями, участвующими в мониторинге состояния ледников, снега и вечной мерзлоты в зоне формирования поверхностного стока в Центральной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научных исследований с целью углубления научного понимания последствий изменения климата для ледников, снега и водных ресурсов, а также формулирование дальнейших потребностей в проведении научных исследований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поощрение разработки региональных научно-исследовательских программ, связанных с региональными и глобальными инициативами, в том числе с акцентом на проблематике гляциологии, гидрологии и климатологии горных территорий, в рамках Международной гидрологической программы ЮНЕСКО (МГП);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и координация усилий в сфере образования и создания и развития человеческого и институционального потенциала в области оценки последствий изменения климата для снега и ледников с применением современных методов и технологий, включая использование спутниковых снимков и технологий ГИС;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программы, направленной на повышение уровня осведомленности лиц, принимающих решения на национальном и региональном уровнях, в вопросах прогнозов и рисков, связанных с таянием горных ледников в Центральной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распространение в широких научных кругах и сетях МГП результатов проведенных научных исследований посредством теоретических и практических семинаров, учебных курсов, конференций и периодических изданий.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деятельностью Центра и координацию его работы осуществляет Совет управляющих, состав которого обновляется каждые пять лет. В состав Совета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представитель уполномоченного государственного органа Республики Казахстан, занимающегося вопросами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представители государств-членов, которые направили Центру уведомление относительно членства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ниже и заявили о своей заинтересованности быть представленными в составе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представитель Генерального директора ЮНЕСКО;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следующие представители приглашаются в качестве наблюдателей без права голоса: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директор Института географии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директор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представители любых других межправительственных или неправительственных организаций, вносящих существенный вклад в бюджет и в деятельность Центра; решение об их членстве принимается Советом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утверждает долгосрочные и среднесрочные программы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утверждает годовой план работы и бюджет Центра, включая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годовые доклады, представляемые директором Центра, включая проводимую один раз в два года самооценку вклада Центра в достижение программных целей ЮНЕСКО;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принимает правила и положения и определяет процедуры финансового, административного и кадрового управления Центром в соответствии с законами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принимает решения по вопросам участия региональных межправительственных организаций и международных организаций в работе Центра и по вопросам их членства, в соответствии с пунктом 1 (f) статьи 7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 не реже одного раза в календарный год; внеочередные сессии созываются Председателем Совета либо по его собственной инициативе, либо по просьбе Генерального директора ЮНЕСКО или большинства членов Совета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процедуры. Процедура первого заседания устанавливается Сторонами.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эффективного функционирования Центра в период между сессиями Совет управляющих может передать необходимые полномочия постоянному Исполнительному комитету, состав которого будет определен Советом. Исполнительный комитет несет ответственность за повседневное управление деятельностью Центра.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Секретариата Центра входят директор и такой персонал, который необходим для надлежащего функционирования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 назначается Председателем Совета управляющих в консультации с Генеральным директором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 Секретариата могут также входить: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сотрудники ЮНЕСКО, которые временно откомандировываются и предоставляются в распоряжение Центра, как это предусмотрено регламентирующими положениями ЮНЕСКО и решениями ее руководящих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любое лицо, назначенное директором в соответствии с процедурами, установленными Советом управляющих;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гражданские служащие Республики Казахстан, которые предоставляются в распоряжение Центра в соответствии с законодательством Республики Казахстан.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Центра в соответствии с программами и директивами, принятыми Советом управляющих;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предлагает проекты плана работы и бюджета, подлежащие представлению на утверждение Совета управляющих;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предварительную повестку дня сессий Совета управляющих и представляет ему на рассмотрение любые предложения, которые может счесть полезными для управления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готовит доклады о деятельности Центра для представления Совету управляющих;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Центр в суде и во всех гражданских делах.</w:t>
      </w:r>
    </w:p>
    <w:bookmarkEnd w:id="24"/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по мере необходимости оказывать помощь в форме технической поддержки программной деятельности Центра в соответствии со стратегическими целями и задачами ЮНЕСКО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предоставления услуг своих экспертов в областях специализации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участия в обмене сотрудниками на временной основе, при котором выплата зарплаты соответствующим сотрудникам производится организациями, направляющими этих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временного откомандирования своих сотрудников в распоряжение Центра в соответствии с решением, которое может в виде исключения приниматься Генеральным директором, если это необходимо для выполнения совместного мероприятия/проекта в одной из стратегических программных областей приоритетного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предоставления технической поддержки, в частности в целях реализации общей миссии институтов и центров ЮНЕСКО, связанных с водными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перечисленных в пункте 1 настоящей статьи, такая помощь не предоставляется, если на нее в программе и бюджете ЮНЕСКО не предусмотрены ассигнования; ЮНЕСКО представляет государствам-членам отчеты об использовании своих сотрудников и о соответствующих расходах.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как финансовые, так и материальные, которые необходимы для управления Центром и его надлежащего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действуя через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предоставляет Центру средства в объеме не менее чем 95 000 000,00 тенге (примерно 650 000,00 долларов США по текущему обменному курсу) в год с целью покрытия текущих расходов и финансирования программы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предоставляет Центру соответствующие служебные помещения, оборудование и технические средства в рамках вышеназванного объема годового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обеспечивает полное покрытие расходов на эксплуатационное обслуживание помещений, связь и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организует проведение заседаний Совета управляющих и обеспечивает покрытие связанных с этим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предоставляет в распоряжение Центра административный персонал, необходимый для выполнения функций Центра, которые включают проведение научных исследований, подготовку кадров и выпуск публикаций, в дополнение к взносам из других источников.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членов – сотрудников ЮНЕСКО, которые в силу своей общей заинтересованности в реализации целей Центра стремятся к сотрудничеству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члены – сотрудники ЮНЕСКО, желающие участвовать в деятельности Центра в соответствии с положениями настоящего Соглашения, направляют Центру уведомление об этом. Директор Центра информирует Стороны Соглашения и другие государства-члены о получении таких уведомлений.</w:t>
      </w:r>
    </w:p>
    <w:bookmarkEnd w:id="30"/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в правовом отношении Центр не является частью ЮНЕСКО, последняя не является юридически ответственной за деяния или упущения Центра, не подлежит никакому юридическому преследованию и не несет никакой финансовой или любой иной ответственности, за исключением положений, специально оговоренных в настоящем Соглашении.</w:t>
      </w:r>
    </w:p>
    <w:bookmarkEnd w:id="32"/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Центра, чтобы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вносит ли Центр значительный вклад в достижение стратегических целей ЮНЕСКО;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соответствует ли фактическая деятельность Центра той деятельности, которая предусмотрена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ЮНЕСКО обязуется представлять Правительству в кратчайшие сроки доклад о всех проведенных оценках.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договаривающихся сторон сохраняет за собой возможность по результатам оценки, о которой говорится в настоящей статье, предложить пересмотреть настоящее Соглашение или денонсировать его, как это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ссылаться на свои отношения с ЮНЕСКО. В связи с этим он может использовать после своего названия слова «под эгидой ЮНЕСКО».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имеет право использовать эмблему ЮНЕСКО или ее разновидность на своих официальных бланках и документах, включая электронные документы и веб-страницы, в соответствии с условиями, установленными руководящими органами ЮНЕСКО.</w:t>
      </w:r>
    </w:p>
    <w:bookmarkEnd w:id="36"/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его подписания договаривающимися сторонами и после того, как они по дипломатическим каналам в письменной форме взаимно уведомят друг друга о выполнении всех формальностей, предусмотренных в таких случаях внутренним законодательством Республики Казахстан и регламентирующими положениями ЮНЕСКО. Дата получения последнего уведомления считается датой вступления в силу настоящего Соглашения.</w:t>
      </w:r>
    </w:p>
    <w:bookmarkEnd w:id="38"/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в шесть лет с даты его вступления в силу и автоматически продлевается на последующие шестилетние периоды, если только одна из Сторон конкретным образом не денонсирует его в соответствии с положениями статьи 19.</w:t>
      </w:r>
    </w:p>
    <w:bookmarkEnd w:id="40"/>
    <w:bookmarkStart w:name="z1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имеет право денонсировать в одностороннем порядке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по истечении 30 дней после получения уведомления, направленного одной из договаривающихся сторон другой стороне.</w:t>
      </w:r>
    </w:p>
    <w:bookmarkEnd w:id="42"/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пересмотрено по обоюдному согласию Правительства и ЮНЕСКО.</w:t>
      </w:r>
    </w:p>
    <w:bookmarkEnd w:id="44"/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между Сторонами относительно толкования или применения настоящего Соглашения, которые не могут быть разрешены путем переговоров или иным согласованным обеими Сторонами образом, передаются для окончательного разрешения в арбитражный суд в составе трех членов, из которых одного назначает представитель Правительства, второго – Генеральный директор ЮНЕСКО, а третьего арбитра, который будет председательствовать в этом арбитражном суде, выбирают два назначенных арбитра. Если первые два арбитра не могут прийти к согласию в отношении выбора третьего арбитра, он назначается Председателем Международного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арбитражного суда является окончательным.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подписали настоящее Соглашение.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«___» мая 2012 года в двух экземплярах, каждый из которых является оригиналом, на казахском, русском и английском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 разных языках преимущественную силу имеет текст на английском языке.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0"/>
        <w:gridCol w:w="740"/>
        <w:gridCol w:w="5940"/>
      </w:tblGrid>
      <w:tr>
        <w:trPr>
          <w:trHeight w:val="285" w:hRule="atLeast"/>
        </w:trPr>
        <w:tc>
          <w:tcPr>
            <w:tcW w:w="5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и культуры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