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ba6b" w14:textId="9c8b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августа 2011 года № 924 "Об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 и о внесении дополнений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2012 года № 628. Утратило силу постановлением Правительства Республики Казахстан от 22 июля 2016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22.07.2016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2011 года № 924 «Об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 и о внесении дополнений в постановление Правительства Республики Казахстан от 26 ноября 2004 года № 1237 «Некоторые вопросы Министерства индустрии и новых технологий Республики Казахстан» (САПП Республики Казахстан, 2011 г., № 51, ст. 709)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«Код ТН ВЭД ТС»: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«7106 91 100 0» заменить цифрами «7106 91 000»;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«7108 12 000 0» заменить цифрами «7108 12 000»;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«7108 20 000 0» заменить цифрами «7108 20 000»;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«7110 11 000 0» заменить цифрами «7110 11 000»;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«7110 21 000 0» заменить цифрами «7110 21 000»;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«Код ТН ВЭД ТС»: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«7106 92*» заменить цифрами «7106 92 000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«9003 19 100 0» заменить цифрами «9003 19 000 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«9608 10 300 0» заменить цифрами «9608 10 990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«9608 39 100 0» заменить цифрами «9608 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«Код ТН ВЭД ТС»: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«7108 12 000 0» заменить цифрами «7108 12 000»;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«7110 11 000 0» заменить цифрами «7110 11 000»;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«7110 21 000 0» заменить цифрами «7110 21 000».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