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d335" w14:textId="3add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2012 года № 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«Зыряновское государственное учреждение лесного хозяйства» Управления природных ресурсов и регулирования природопользования Восточно-Казахстанской области общей площадью 29,5 гектара и государственного учреждения «Большенарымское государственное учреждение лесного хозяйства» Управления природных ресурсов и регулирования природопользования Восточно-Казахстанской области (далее – учреждения) общей площадью 4,9 гектара из категории земель государственного лесного фонда в категорию земель промышленности, транспорта, связи, обороны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Восточно-Казахстанской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«Eco Energy» (далее – товарищество) земельных участков, указанных в пункте 1 настоящего постановления, для целей гидроэнергетики.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угодий,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2012 года № 515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государственного лесного фонда, переводимых в категорию</w:t>
      </w:r>
      <w:r>
        <w:br/>
      </w:r>
      <w:r>
        <w:rPr>
          <w:rFonts w:ascii="Times New Roman"/>
          <w:b/>
          <w:i w:val="false"/>
          <w:color w:val="000000"/>
        </w:rPr>
        <w:t>
земель промышленности, транспорта, связи, обороны и иного</w:t>
      </w:r>
      <w:r>
        <w:br/>
      </w:r>
      <w:r>
        <w:rPr>
          <w:rFonts w:ascii="Times New Roman"/>
          <w:b/>
          <w:i w:val="false"/>
          <w:color w:val="000000"/>
        </w:rPr>
        <w:t>
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478"/>
        <w:gridCol w:w="1504"/>
        <w:gridCol w:w="1508"/>
        <w:gridCol w:w="1508"/>
        <w:gridCol w:w="1508"/>
        <w:gridCol w:w="1509"/>
        <w:gridCol w:w="1108"/>
        <w:gridCol w:w="1110"/>
      </w:tblGrid>
      <w:tr>
        <w:trPr>
          <w:trHeight w:val="25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«Большенарымское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