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d335" w14:textId="3add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2012 года № 515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земельные участки государственного учреждения «Зыряновское государственное учреждение лесного хозяйства» Управления природных ресурсов и регулирования природопользования Восточно-Казахстанской области общей площадью 29,5 гектара и государственного учреждения «Большенарымское государственное учреждение лесного хозяйства» Управления природных ресурсов и регулирования природопользования Восточно-Казахстанской области (далее – учреждения) общей площадью 4,9 гектара из категории земель государственного лесного фонда в категорию земель промышленности, транспорта, связи, обороны и иного несельскохозяйственного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Акиму Восточно-Казахстанской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«Eco Energy» (далее – товарищество) земельных участков, указанных в пункте 1 настоящего постановления, для целей гидроэнергетики.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Товариществу в соответствии с действующим законодательством Республики Казахстан возместить в доход республиканского бюджета потери лесохозяйственного и сельскохозяйственного производства, вызванные изъятием лесных и сельскохозяйственных угодий, для использования их в целях, не связанных с ведением лесного и сельского хозяйства, и принять меры по расчистке площади с передачей полученной древесины на баланс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2012 года № 515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государственного лесного фонда, переводимых в категорию</w:t>
      </w:r>
      <w:r>
        <w:br/>
      </w:r>
      <w:r>
        <w:rPr>
          <w:rFonts w:ascii="Times New Roman"/>
          <w:b/>
          <w:i w:val="false"/>
          <w:color w:val="000000"/>
        </w:rPr>
        <w:t>
земель промышленности, транспорта, связи, обороны и иного</w:t>
      </w:r>
      <w:r>
        <w:br/>
      </w:r>
      <w:r>
        <w:rPr>
          <w:rFonts w:ascii="Times New Roman"/>
          <w:b/>
          <w:i w:val="false"/>
          <w:color w:val="000000"/>
        </w:rPr>
        <w:t>
несельскохозяйственного назначения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3478"/>
        <w:gridCol w:w="1504"/>
        <w:gridCol w:w="1508"/>
        <w:gridCol w:w="1508"/>
        <w:gridCol w:w="1508"/>
        <w:gridCol w:w="1509"/>
        <w:gridCol w:w="1108"/>
        <w:gridCol w:w="1110"/>
      </w:tblGrid>
      <w:tr>
        <w:trPr>
          <w:trHeight w:val="255" w:hRule="atLeast"/>
        </w:trPr>
        <w:tc>
          <w:tcPr>
            <w:tcW w:w="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землепользователя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лесом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косы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18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«Зыряновское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«Большенарымское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28,5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