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e57" w14:textId="0c51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осмотра" и приостановлении действий его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509.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осмотра" (САПП Республики Казахстан, 2011 г., № 39, ст. 474)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Проверка тормозного управления транспортного средства в  зависимости от категорий транспортного средства производится следующими роликовыми тормозными стендами: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N3 и О4 с максимальной нагрузкой на ось не менее 16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М2, М3, N2, О3 с максимальной нагрузкой на ось не менее 10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M1, N1, O2 с максимальной нагрузкой на ось не менее 2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L3, L4, L5 максимальный вес, приходящийся на 1 колесо, 0,6 тонн.";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 и семнадцатый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седьмой и десятый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периодичности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Срок прохождения последующего обязательного технического осмотра механических транспортных средств и прицепов к ним исчисляется от даты прохождения первичного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1) пункта 1 периодичности  прохождения обязательного технического осмотра механических транспортных средств и прицепов к ним не распространяется на механические транспортные средства категорий М1, зарегистрированные в центральном исполнительном органе по безопасности дорожного движения, за исключением такси, возраст которых более 7 лет, включая год выпуска, прошедшие государственный или обязательный технический осмотр с мая по сентябрь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Механические транспортные средства, указанные в части второй пункта 3 периодичности прохождения обязательного технического осмотра механических транспортных средств и прицепов к ним, прошедшие: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технический осмотр: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мае 2011 года проходят обязательный технический осмотр в ноябре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июне 2011 года проходят обязательный технический осмотр в декабре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или обязательный технический осмотр: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июле 2011 года проходят обязательный технический осмотр в январе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августе 2011 года проходят обязательный технический осмотр в феврале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2011 года проходят обязательный технический осмотр в марте 2013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диагностической карты технического осмотра,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до 1 января 2014 года действия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 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обязательного технического осмотра механических транспортных средств и прицепов к ним, утвержденных постановлением,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 абзацев </w:t>
      </w:r>
      <w:r>
        <w:rPr>
          <w:rFonts w:ascii="Times New Roman"/>
          <w:b w:val="false"/>
          <w:i w:val="false"/>
          <w:color w:val="000000"/>
          <w:sz w:val="28"/>
        </w:rPr>
        <w:t>тринадцатого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четырнадцатого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семнадцатого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восемнадцатого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девятнадцатого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двадцать первого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двадцать второго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двадцать 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двадцать четвертого</w:t>
      </w:r>
      <w:r>
        <w:rPr>
          <w:rFonts w:ascii="Times New Roman"/>
          <w:b w:val="false"/>
          <w:i w:val="false"/>
          <w:color w:val="000000"/>
          <w:sz w:val="28"/>
        </w:rPr>
        <w:t>пункта 1 настоящего постановления, которые вводятся в действие с 1 мая 2012 года и действуют до 1 апреля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2012 года № 509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523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Диагностическая карта технического осмотра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проверки АТС:                             </w:t>
      </w:r>
      <w:r>
        <w:drawing>
          <wp:inline distT="0" distB="0" distL="0" distR="0">
            <wp:extent cx="254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Первичная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drawing>
          <wp:inline distT="0" distB="0" distL="0" distR="0">
            <wp:extent cx="254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Повторная проверка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238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Гос.рег.знак:                        Марка, модель:                  Год выпуска: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№ двигателя:                 № кузова:                       № шасси (рамы):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VIN: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АТС:                     Представитель собственника АТС: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Рег.документ:                        Серия:                          Номер: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719"/>
        <w:gridCol w:w="2029"/>
        <w:gridCol w:w="922"/>
        <w:gridCol w:w="1719"/>
        <w:gridCol w:w="767"/>
        <w:gridCol w:w="1564"/>
        <w:gridCol w:w="833"/>
        <w:gridCol w:w="1985"/>
        <w:gridCol w:w="812"/>
      </w:tblGrid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торможении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люфт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щатели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автопоезда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стеклоомы-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системы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и СН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(обзор-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горловины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дверьми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брызговики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проводилась: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о выявленных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дефектах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технического состояния АТС проведена: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 специалиста, проводившего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Центра технического осмотра (ЦТО)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____    _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 _____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(исправно/неисправно)      (должность специалиста ЦТО)        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