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c47e" w14:textId="6d1c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программы управления отходами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2012 года № 403.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16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программы управления отходами.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2012 года № 403</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разработки программы управления отходами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разработки программы управления отходами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16 Экологического кодекса Республики Казахстан от 9 января 2007 года (далее – Кодекс) и устанавливают порядок разработки природопользователями программы управления отходами (далее – Программа).</w:t>
      </w:r>
      <w:r>
        <w:br/>
      </w:r>
      <w:r>
        <w:rPr>
          <w:rFonts w:ascii="Times New Roman"/>
          <w:b w:val="false"/>
          <w:i w:val="false"/>
          <w:color w:val="000000"/>
          <w:sz w:val="28"/>
        </w:rPr>
        <w:t>
</w:t>
      </w:r>
      <w:r>
        <w:rPr>
          <w:rFonts w:ascii="Times New Roman"/>
          <w:b w:val="false"/>
          <w:i w:val="false"/>
          <w:color w:val="000000"/>
          <w:sz w:val="28"/>
        </w:rPr>
        <w:t>
      2. Настоящие Правила являются обязательными для физических и юридических лиц, имеющих объекты I и II категории и осуществляющих деятельность по обращению с отходами.</w:t>
      </w:r>
      <w:r>
        <w:br/>
      </w:r>
      <w:r>
        <w:rPr>
          <w:rFonts w:ascii="Times New Roman"/>
          <w:b w:val="false"/>
          <w:i w:val="false"/>
          <w:color w:val="000000"/>
          <w:sz w:val="28"/>
        </w:rPr>
        <w:t>
</w:t>
      </w:r>
      <w:r>
        <w:rPr>
          <w:rFonts w:ascii="Times New Roman"/>
          <w:b w:val="false"/>
          <w:i w:val="false"/>
          <w:color w:val="000000"/>
          <w:sz w:val="28"/>
        </w:rPr>
        <w:t>
      Категории объектов природопользования определяются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3. Управление отходами – это деятельность по планированию, реализации, мониторингу и анализу мероприятий по обращению с отходами производства и потребления.</w:t>
      </w:r>
      <w:r>
        <w:br/>
      </w:r>
      <w:r>
        <w:rPr>
          <w:rFonts w:ascii="Times New Roman"/>
          <w:b w:val="false"/>
          <w:i w:val="false"/>
          <w:color w:val="000000"/>
          <w:sz w:val="28"/>
        </w:rPr>
        <w:t>
</w:t>
      </w:r>
      <w:r>
        <w:rPr>
          <w:rFonts w:ascii="Times New Roman"/>
          <w:b w:val="false"/>
          <w:i w:val="false"/>
          <w:color w:val="000000"/>
          <w:sz w:val="28"/>
        </w:rPr>
        <w:t>
      4. Плановый период – период, на который разработана Программа.</w:t>
      </w:r>
      <w:r>
        <w:br/>
      </w:r>
      <w:r>
        <w:rPr>
          <w:rFonts w:ascii="Times New Roman"/>
          <w:b w:val="false"/>
          <w:i w:val="false"/>
          <w:color w:val="000000"/>
          <w:sz w:val="28"/>
        </w:rPr>
        <w:t>
</w:t>
      </w:r>
      <w:r>
        <w:rPr>
          <w:rFonts w:ascii="Times New Roman"/>
          <w:b w:val="false"/>
          <w:i w:val="false"/>
          <w:color w:val="000000"/>
          <w:sz w:val="28"/>
        </w:rPr>
        <w:t>
      5. Программа разрабатывается на срок не более десяти лет, с возможной корректировкой в случае каких-либо изменений и дополнений.</w:t>
      </w:r>
      <w:r>
        <w:br/>
      </w:r>
      <w:r>
        <w:rPr>
          <w:rFonts w:ascii="Times New Roman"/>
          <w:b w:val="false"/>
          <w:i w:val="false"/>
          <w:color w:val="000000"/>
          <w:sz w:val="28"/>
        </w:rPr>
        <w:t>
</w:t>
      </w:r>
      <w:r>
        <w:rPr>
          <w:rFonts w:ascii="Times New Roman"/>
          <w:b w:val="false"/>
          <w:i w:val="false"/>
          <w:color w:val="000000"/>
          <w:sz w:val="28"/>
        </w:rPr>
        <w:t>
      6.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в структуры производства и потребления путем:</w:t>
      </w:r>
      <w:r>
        <w:br/>
      </w:r>
      <w:r>
        <w:rPr>
          <w:rFonts w:ascii="Times New Roman"/>
          <w:b w:val="false"/>
          <w:i w:val="false"/>
          <w:color w:val="000000"/>
          <w:sz w:val="28"/>
        </w:rPr>
        <w:t>
</w:t>
      </w: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r>
        <w:br/>
      </w:r>
      <w:r>
        <w:rPr>
          <w:rFonts w:ascii="Times New Roman"/>
          <w:b w:val="false"/>
          <w:i w:val="false"/>
          <w:color w:val="000000"/>
          <w:sz w:val="28"/>
        </w:rPr>
        <w:t>
</w:t>
      </w: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r>
        <w:br/>
      </w:r>
      <w:r>
        <w:rPr>
          <w:rFonts w:ascii="Times New Roman"/>
          <w:b w:val="false"/>
          <w:i w:val="false"/>
          <w:color w:val="000000"/>
          <w:sz w:val="28"/>
        </w:rPr>
        <w:t>
</w:t>
      </w: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r>
        <w:br/>
      </w:r>
      <w:r>
        <w:rPr>
          <w:rFonts w:ascii="Times New Roman"/>
          <w:b w:val="false"/>
          <w:i w:val="false"/>
          <w:color w:val="000000"/>
          <w:sz w:val="28"/>
        </w:rPr>
        <w:t>
</w:t>
      </w:r>
      <w:r>
        <w:rPr>
          <w:rFonts w:ascii="Times New Roman"/>
          <w:b w:val="false"/>
          <w:i w:val="false"/>
          <w:color w:val="000000"/>
          <w:sz w:val="28"/>
        </w:rPr>
        <w:t>
      4) рекультивации полигонов отходов в соответствии с утвержденными проектами рекультивации.</w:t>
      </w:r>
      <w:r>
        <w:br/>
      </w:r>
      <w:r>
        <w:rPr>
          <w:rFonts w:ascii="Times New Roman"/>
          <w:b w:val="false"/>
          <w:i w:val="false"/>
          <w:color w:val="000000"/>
          <w:sz w:val="28"/>
        </w:rPr>
        <w:t>
</w:t>
      </w:r>
      <w:r>
        <w:rPr>
          <w:rFonts w:ascii="Times New Roman"/>
          <w:b w:val="false"/>
          <w:i w:val="false"/>
          <w:color w:val="000000"/>
          <w:sz w:val="28"/>
        </w:rPr>
        <w:t>
      7. При отсутствии технологической возможности рекультивации мест размещения отходов в программе должны быть предусмотрены мероприятия по снижению их вредного воздействия на окружающую среду.</w:t>
      </w:r>
      <w:r>
        <w:br/>
      </w:r>
      <w:r>
        <w:rPr>
          <w:rFonts w:ascii="Times New Roman"/>
          <w:b w:val="false"/>
          <w:i w:val="false"/>
          <w:color w:val="000000"/>
          <w:sz w:val="28"/>
        </w:rPr>
        <w:t>
</w:t>
      </w:r>
      <w:r>
        <w:rPr>
          <w:rFonts w:ascii="Times New Roman"/>
          <w:b w:val="false"/>
          <w:i w:val="false"/>
          <w:color w:val="000000"/>
          <w:sz w:val="28"/>
        </w:rPr>
        <w:t>
      8. Природопользователи, имеющие объекты I категории с объемом размещения отходов производства и потребления 500000 тонн в год и выше, согласовывают Программу с уполномоченным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9. Природопользователи, имеющие объекты I категории с объемом размещения отходов производства и потребления менее 500000 тонн в год, а также объекты II категории, согласовывают Программу с территориальными органами уполномоченного органа в области охраны окружающей среды по месту нахождения объекта природопользования.</w:t>
      </w:r>
    </w:p>
    <w:bookmarkEnd w:id="5"/>
    <w:bookmarkStart w:name="z21" w:id="6"/>
    <w:p>
      <w:pPr>
        <w:spacing w:after="0"/>
        <w:ind w:left="0"/>
        <w:jc w:val="left"/>
      </w:pPr>
      <w:r>
        <w:rPr>
          <w:rFonts w:ascii="Times New Roman"/>
          <w:b/>
          <w:i w:val="false"/>
          <w:color w:val="000000"/>
        </w:rPr>
        <w:t xml:space="preserve"> 
2. Порядок разработки Программы</w:t>
      </w:r>
    </w:p>
    <w:bookmarkEnd w:id="6"/>
    <w:bookmarkStart w:name="z22" w:id="7"/>
    <w:p>
      <w:pPr>
        <w:spacing w:after="0"/>
        <w:ind w:left="0"/>
        <w:jc w:val="both"/>
      </w:pPr>
      <w:r>
        <w:rPr>
          <w:rFonts w:ascii="Times New Roman"/>
          <w:b w:val="false"/>
          <w:i w:val="false"/>
          <w:color w:val="000000"/>
          <w:sz w:val="28"/>
        </w:rPr>
        <w:t>
      10. Природопользователи разрабатывают Программу в соответствии со следующими требованиями:</w:t>
      </w:r>
      <w:r>
        <w:br/>
      </w:r>
      <w:r>
        <w:rPr>
          <w:rFonts w:ascii="Times New Roman"/>
          <w:b w:val="false"/>
          <w:i w:val="false"/>
          <w:color w:val="000000"/>
          <w:sz w:val="28"/>
        </w:rPr>
        <w:t>
</w:t>
      </w:r>
      <w:r>
        <w:rPr>
          <w:rFonts w:ascii="Times New Roman"/>
          <w:b w:val="false"/>
          <w:i w:val="false"/>
          <w:color w:val="000000"/>
          <w:sz w:val="28"/>
        </w:rPr>
        <w:t>
      Программа должна содержать следующие разделы:</w:t>
      </w:r>
      <w:r>
        <w:br/>
      </w:r>
      <w:r>
        <w:rPr>
          <w:rFonts w:ascii="Times New Roman"/>
          <w:b w:val="false"/>
          <w:i w:val="false"/>
          <w:color w:val="000000"/>
          <w:sz w:val="28"/>
        </w:rPr>
        <w:t>
</w:t>
      </w:r>
      <w:r>
        <w:rPr>
          <w:rFonts w:ascii="Times New Roman"/>
          <w:b w:val="false"/>
          <w:i w:val="false"/>
          <w:color w:val="000000"/>
          <w:sz w:val="28"/>
        </w:rPr>
        <w:t>
      1. Анализ текущего состояния управления отходами на предприятии.</w:t>
      </w:r>
      <w:r>
        <w:br/>
      </w:r>
      <w:r>
        <w:rPr>
          <w:rFonts w:ascii="Times New Roman"/>
          <w:b w:val="false"/>
          <w:i w:val="false"/>
          <w:color w:val="000000"/>
          <w:sz w:val="28"/>
        </w:rPr>
        <w:t>
</w:t>
      </w:r>
      <w:r>
        <w:rPr>
          <w:rFonts w:ascii="Times New Roman"/>
          <w:b w:val="false"/>
          <w:i w:val="false"/>
          <w:color w:val="000000"/>
          <w:sz w:val="28"/>
        </w:rPr>
        <w:t>
      В данном разделе отражаются количественные и качественные показатели текущей ситуации с отходами, имеющиеся проблемы, основные результаты работ по управлению отходами в динамике за последние три года.</w:t>
      </w:r>
      <w:r>
        <w:br/>
      </w:r>
      <w:r>
        <w:rPr>
          <w:rFonts w:ascii="Times New Roman"/>
          <w:b w:val="false"/>
          <w:i w:val="false"/>
          <w:color w:val="000000"/>
          <w:sz w:val="28"/>
        </w:rPr>
        <w:t>
</w:t>
      </w:r>
      <w:r>
        <w:rPr>
          <w:rFonts w:ascii="Times New Roman"/>
          <w:b w:val="false"/>
          <w:i w:val="false"/>
          <w:color w:val="000000"/>
          <w:sz w:val="28"/>
        </w:rPr>
        <w:t>
      2. Цели и задачи.</w:t>
      </w:r>
      <w:r>
        <w:br/>
      </w:r>
      <w:r>
        <w:rPr>
          <w:rFonts w:ascii="Times New Roman"/>
          <w:b w:val="false"/>
          <w:i w:val="false"/>
          <w:color w:val="000000"/>
          <w:sz w:val="28"/>
        </w:rPr>
        <w:t>
</w:t>
      </w:r>
      <w:r>
        <w:rPr>
          <w:rFonts w:ascii="Times New Roman"/>
          <w:b w:val="false"/>
          <w:i w:val="false"/>
          <w:color w:val="000000"/>
          <w:sz w:val="28"/>
        </w:rPr>
        <w:t>
      Цель Программы заключается в достижении установленных показателей, направленных на постепенное сокращение объемов и (или) уровня опасных свойств накопленных и образуемых отходов, а также отходов, находящихся в процессе обращения.</w:t>
      </w:r>
      <w:r>
        <w:br/>
      </w:r>
      <w:r>
        <w:rPr>
          <w:rFonts w:ascii="Times New Roman"/>
          <w:b w:val="false"/>
          <w:i w:val="false"/>
          <w:color w:val="000000"/>
          <w:sz w:val="28"/>
        </w:rPr>
        <w:t>
</w:t>
      </w:r>
      <w:r>
        <w:rPr>
          <w:rFonts w:ascii="Times New Roman"/>
          <w:b w:val="false"/>
          <w:i w:val="false"/>
          <w:color w:val="000000"/>
          <w:sz w:val="28"/>
        </w:rPr>
        <w:t>
      Задачи Программы –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снижение объемов образуемых и накопленных отходов, с учетом:</w:t>
      </w:r>
      <w:r>
        <w:br/>
      </w:r>
      <w:r>
        <w:rPr>
          <w:rFonts w:ascii="Times New Roman"/>
          <w:b w:val="false"/>
          <w:i w:val="false"/>
          <w:color w:val="000000"/>
          <w:sz w:val="28"/>
        </w:rPr>
        <w:t>
</w:t>
      </w:r>
      <w:r>
        <w:rPr>
          <w:rFonts w:ascii="Times New Roman"/>
          <w:b w:val="false"/>
          <w:i w:val="false"/>
          <w:color w:val="000000"/>
          <w:sz w:val="28"/>
        </w:rPr>
        <w:t>
      внедрения на предприятии имеющихся в мире наилучших доступных технологий по обезвреживанию, вторичному использованию и переработке отходов;</w:t>
      </w:r>
      <w:r>
        <w:br/>
      </w:r>
      <w:r>
        <w:rPr>
          <w:rFonts w:ascii="Times New Roman"/>
          <w:b w:val="false"/>
          <w:i w:val="false"/>
          <w:color w:val="000000"/>
          <w:sz w:val="28"/>
        </w:rPr>
        <w:t>
</w:t>
      </w:r>
      <w:r>
        <w:rPr>
          <w:rFonts w:ascii="Times New Roman"/>
          <w:b w:val="false"/>
          <w:i w:val="false"/>
          <w:color w:val="000000"/>
          <w:sz w:val="28"/>
        </w:rPr>
        <w:t>
      привлечения инвестиций в переработку и вторичное использование отходов;</w:t>
      </w:r>
      <w:r>
        <w:br/>
      </w:r>
      <w:r>
        <w:rPr>
          <w:rFonts w:ascii="Times New Roman"/>
          <w:b w:val="false"/>
          <w:i w:val="false"/>
          <w:color w:val="000000"/>
          <w:sz w:val="28"/>
        </w:rPr>
        <w:t>
</w:t>
      </w:r>
      <w:r>
        <w:rPr>
          <w:rFonts w:ascii="Times New Roman"/>
          <w:b w:val="false"/>
          <w:i w:val="false"/>
          <w:color w:val="000000"/>
          <w:sz w:val="28"/>
        </w:rPr>
        <w:t>
      минимизации объемов отходов, вывозимых на полигоны захоронения;</w:t>
      </w:r>
      <w:r>
        <w:br/>
      </w:r>
      <w:r>
        <w:rPr>
          <w:rFonts w:ascii="Times New Roman"/>
          <w:b w:val="false"/>
          <w:i w:val="false"/>
          <w:color w:val="000000"/>
          <w:sz w:val="28"/>
        </w:rPr>
        <w:t>
</w:t>
      </w:r>
      <w:r>
        <w:rPr>
          <w:rFonts w:ascii="Times New Roman"/>
          <w:b w:val="false"/>
          <w:i w:val="false"/>
          <w:color w:val="000000"/>
          <w:sz w:val="28"/>
        </w:rPr>
        <w:t>
      рекультивации мест захоронения отходов, минимизации отрицательного воздействия полигонов на окружающую среду.</w:t>
      </w:r>
      <w:r>
        <w:br/>
      </w:r>
      <w:r>
        <w:rPr>
          <w:rFonts w:ascii="Times New Roman"/>
          <w:b w:val="false"/>
          <w:i w:val="false"/>
          <w:color w:val="000000"/>
          <w:sz w:val="28"/>
        </w:rPr>
        <w:t>
</w:t>
      </w:r>
      <w:r>
        <w:rPr>
          <w:rFonts w:ascii="Times New Roman"/>
          <w:b w:val="false"/>
          <w:i w:val="false"/>
          <w:color w:val="000000"/>
          <w:sz w:val="28"/>
        </w:rPr>
        <w:t>
      3. Показатели.</w:t>
      </w:r>
      <w:r>
        <w:br/>
      </w:r>
      <w:r>
        <w:rPr>
          <w:rFonts w:ascii="Times New Roman"/>
          <w:b w:val="false"/>
          <w:i w:val="false"/>
          <w:color w:val="000000"/>
          <w:sz w:val="28"/>
        </w:rPr>
        <w:t>
</w:t>
      </w:r>
      <w:r>
        <w:rPr>
          <w:rFonts w:ascii="Times New Roman"/>
          <w:b w:val="false"/>
          <w:i w:val="false"/>
          <w:color w:val="000000"/>
          <w:sz w:val="28"/>
        </w:rPr>
        <w:t>
      Показатели Программы – количественные и (или) качественные значения, определяющие на определенных этапах ожидаемые результаты реализации комплекса мер, направленных на снижение негативного воздействия отходов производства и потребления на окружающую среду.</w:t>
      </w:r>
      <w:r>
        <w:br/>
      </w:r>
      <w:r>
        <w:rPr>
          <w:rFonts w:ascii="Times New Roman"/>
          <w:b w:val="false"/>
          <w:i w:val="false"/>
          <w:color w:val="000000"/>
          <w:sz w:val="28"/>
        </w:rPr>
        <w:t>
</w:t>
      </w:r>
      <w:r>
        <w:rPr>
          <w:rFonts w:ascii="Times New Roman"/>
          <w:b w:val="false"/>
          <w:i w:val="false"/>
          <w:color w:val="000000"/>
          <w:sz w:val="28"/>
        </w:rPr>
        <w:t>
      Показатели устанавливаются физическими и юридическими лицами самостоятельно с учетом всех производственных факторов, экологической эффективности и экономической целесообразности. Показатели являются контролируемыми и проверяемыми, определяются по этапам реализации Программы.</w:t>
      </w:r>
      <w:r>
        <w:br/>
      </w:r>
      <w:r>
        <w:rPr>
          <w:rFonts w:ascii="Times New Roman"/>
          <w:b w:val="false"/>
          <w:i w:val="false"/>
          <w:color w:val="000000"/>
          <w:sz w:val="28"/>
        </w:rPr>
        <w:t>
</w:t>
      </w:r>
      <w:r>
        <w:rPr>
          <w:rFonts w:ascii="Times New Roman"/>
          <w:b w:val="false"/>
          <w:i w:val="false"/>
          <w:color w:val="000000"/>
          <w:sz w:val="28"/>
        </w:rPr>
        <w:t>
      4. Необходимые ресурсы и источники их финансирования.</w:t>
      </w:r>
      <w:r>
        <w:br/>
      </w:r>
      <w:r>
        <w:rPr>
          <w:rFonts w:ascii="Times New Roman"/>
          <w:b w:val="false"/>
          <w:i w:val="false"/>
          <w:color w:val="000000"/>
          <w:sz w:val="28"/>
        </w:rPr>
        <w:t>
</w:t>
      </w:r>
      <w:r>
        <w:rPr>
          <w:rFonts w:ascii="Times New Roman"/>
          <w:b w:val="false"/>
          <w:i w:val="false"/>
          <w:color w:val="000000"/>
          <w:sz w:val="28"/>
        </w:rPr>
        <w:t>
      Источниками финансирования программы являются собственные средства организаций, прямые иностранные и отечественные инвестиции, гранты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r>
        <w:br/>
      </w:r>
      <w:r>
        <w:rPr>
          <w:rFonts w:ascii="Times New Roman"/>
          <w:b w:val="false"/>
          <w:i w:val="false"/>
          <w:color w:val="000000"/>
          <w:sz w:val="28"/>
        </w:rPr>
        <w:t>
</w:t>
      </w:r>
      <w:r>
        <w:rPr>
          <w:rFonts w:ascii="Times New Roman"/>
          <w:b w:val="false"/>
          <w:i w:val="false"/>
          <w:color w:val="000000"/>
          <w:sz w:val="28"/>
        </w:rPr>
        <w:t>
      5. План мероприятий по реализации Программы.</w:t>
      </w:r>
      <w:r>
        <w:br/>
      </w:r>
      <w:r>
        <w:rPr>
          <w:rFonts w:ascii="Times New Roman"/>
          <w:b w:val="false"/>
          <w:i w:val="false"/>
          <w:color w:val="000000"/>
          <w:sz w:val="28"/>
        </w:rPr>
        <w:t>
</w:t>
      </w:r>
      <w:r>
        <w:rPr>
          <w:rFonts w:ascii="Times New Roman"/>
          <w:b w:val="false"/>
          <w:i w:val="false"/>
          <w:color w:val="000000"/>
          <w:sz w:val="28"/>
        </w:rPr>
        <w:t>
      План мероприятий является составной частью Программы и представляет собой комплекс организационных, экономических, научно-технических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w:t>
      </w:r>
      <w:r>
        <w:br/>
      </w:r>
      <w:r>
        <w:rPr>
          <w:rFonts w:ascii="Times New Roman"/>
          <w:b w:val="false"/>
          <w:i w:val="false"/>
          <w:color w:val="000000"/>
          <w:sz w:val="28"/>
        </w:rPr>
        <w:t>
</w:t>
      </w:r>
      <w:r>
        <w:rPr>
          <w:rFonts w:ascii="Times New Roman"/>
          <w:b w:val="false"/>
          <w:i w:val="false"/>
          <w:color w:val="000000"/>
          <w:sz w:val="28"/>
        </w:rPr>
        <w:t>
      План мероприятий по реализации программы составляется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7"/>
    <w:bookmarkStart w:name="z42"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разработки</w:t>
      </w:r>
      <w:r>
        <w:br/>
      </w:r>
      <w:r>
        <w:rPr>
          <w:rFonts w:ascii="Times New Roman"/>
          <w:b w:val="false"/>
          <w:i w:val="false"/>
          <w:color w:val="000000"/>
          <w:sz w:val="28"/>
        </w:rPr>
        <w:t>
программы управления</w:t>
      </w:r>
      <w:r>
        <w:br/>
      </w:r>
      <w:r>
        <w:rPr>
          <w:rFonts w:ascii="Times New Roman"/>
          <w:b w:val="false"/>
          <w:i w:val="false"/>
          <w:color w:val="000000"/>
          <w:sz w:val="28"/>
        </w:rPr>
        <w:t xml:space="preserve">
отходами      </w:t>
      </w:r>
    </w:p>
    <w:bookmarkEnd w:id="8"/>
    <w:bookmarkStart w:name="z43" w:id="9"/>
    <w:p>
      <w:pPr>
        <w:spacing w:after="0"/>
        <w:ind w:left="0"/>
        <w:jc w:val="left"/>
      </w:pPr>
      <w:r>
        <w:rPr>
          <w:rFonts w:ascii="Times New Roman"/>
          <w:b/>
          <w:i w:val="false"/>
          <w:color w:val="000000"/>
        </w:rPr>
        <w:t xml:space="preserve"> 
План</w:t>
      </w:r>
      <w:r>
        <w:br/>
      </w:r>
      <w:r>
        <w:rPr>
          <w:rFonts w:ascii="Times New Roman"/>
          <w:b/>
          <w:i w:val="false"/>
          <w:color w:val="000000"/>
        </w:rPr>
        <w:t>
мероприятий по реализации программы управления</w:t>
      </w:r>
      <w:r>
        <w:br/>
      </w:r>
      <w:r>
        <w:rPr>
          <w:rFonts w:ascii="Times New Roman"/>
          <w:b/>
          <w:i w:val="false"/>
          <w:color w:val="000000"/>
        </w:rPr>
        <w:t>
отходами (период)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2604"/>
        <w:gridCol w:w="1625"/>
        <w:gridCol w:w="1363"/>
        <w:gridCol w:w="1973"/>
        <w:gridCol w:w="1168"/>
        <w:gridCol w:w="1821"/>
        <w:gridCol w:w="2498"/>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затель</w:t>
            </w:r>
            <w:r>
              <w:br/>
            </w:r>
            <w:r>
              <w:rPr>
                <w:rFonts w:ascii="Times New Roman"/>
                <w:b w:val="false"/>
                <w:i w:val="false"/>
                <w:color w:val="000000"/>
                <w:sz w:val="20"/>
              </w:rPr>
              <w:t>
</w:t>
            </w:r>
            <w:r>
              <w:rPr>
                <w:rFonts w:ascii="Times New Roman"/>
                <w:b w:val="false"/>
                <w:i w:val="false"/>
                <w:color w:val="000000"/>
                <w:sz w:val="20"/>
              </w:rPr>
              <w:t>(качест-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венный)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ные за</w:t>
            </w:r>
            <w:r>
              <w:br/>
            </w:r>
            <w:r>
              <w:rPr>
                <w:rFonts w:ascii="Times New Roman"/>
                <w:b w:val="false"/>
                <w:i w:val="false"/>
                <w:color w:val="000000"/>
                <w:sz w:val="20"/>
              </w:rPr>
              <w:t>
</w:t>
            </w:r>
            <w:r>
              <w:rPr>
                <w:rFonts w:ascii="Times New Roman"/>
                <w:b w:val="false"/>
                <w:i w:val="false"/>
                <w:color w:val="000000"/>
                <w:sz w:val="20"/>
              </w:rPr>
              <w:t>исполнение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w:t>
            </w:r>
            <w:r>
              <w:br/>
            </w:r>
            <w:r>
              <w:rPr>
                <w:rFonts w:ascii="Times New Roman"/>
                <w:b w:val="false"/>
                <w:i w:val="false"/>
                <w:color w:val="000000"/>
                <w:sz w:val="20"/>
              </w:rPr>
              <w:t>
</w:t>
            </w:r>
            <w:r>
              <w:rPr>
                <w:rFonts w:ascii="Times New Roman"/>
                <w:b w:val="false"/>
                <w:i w:val="false"/>
                <w:color w:val="000000"/>
                <w:sz w:val="20"/>
              </w:rPr>
              <w:t>гаемые</w:t>
            </w:r>
            <w:r>
              <w:br/>
            </w:r>
            <w:r>
              <w:rPr>
                <w:rFonts w:ascii="Times New Roman"/>
                <w:b w:val="false"/>
                <w:i w:val="false"/>
                <w:color w:val="000000"/>
                <w:sz w:val="20"/>
              </w:rPr>
              <w:t>
</w:t>
            </w:r>
            <w:r>
              <w:rPr>
                <w:rFonts w:ascii="Times New Roman"/>
                <w:b w:val="false"/>
                <w:i w:val="false"/>
                <w:color w:val="000000"/>
                <w:sz w:val="20"/>
              </w:rPr>
              <w:t>расходы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в графе 2 указываются мероприятия, направленные на сокращение объемов/снижение опасных свойств отходов, в том числе способы сокращения негативного влияния отходов на окружающую среду, такие как повторное использование, переработка, утилизация, захоронение, обезвреживание, рекультивация мест размещения отходов, уничтожение, отчуждение отходов через передачу физическим, юридическим лицам, заинтересованных в их приобретении;</w:t>
      </w:r>
      <w:r>
        <w:br/>
      </w:r>
      <w:r>
        <w:rPr>
          <w:rFonts w:ascii="Times New Roman"/>
          <w:b w:val="false"/>
          <w:i w:val="false"/>
          <w:color w:val="000000"/>
          <w:sz w:val="28"/>
        </w:rPr>
        <w:t>
</w:t>
      </w:r>
      <w:r>
        <w:rPr>
          <w:rFonts w:ascii="Times New Roman"/>
          <w:b w:val="false"/>
          <w:i w:val="false"/>
          <w:color w:val="000000"/>
          <w:sz w:val="28"/>
        </w:rPr>
        <w:t>
      в графе 3 указываются прогнозируемые количественные, выраженные в единицах измерения, или качественные показатели (физические объемы и (или) % сокращения отходов и (или) уровня их опасности);</w:t>
      </w:r>
      <w:r>
        <w:br/>
      </w:r>
      <w:r>
        <w:rPr>
          <w:rFonts w:ascii="Times New Roman"/>
          <w:b w:val="false"/>
          <w:i w:val="false"/>
          <w:color w:val="000000"/>
          <w:sz w:val="28"/>
        </w:rPr>
        <w:t>
</w:t>
      </w:r>
      <w:r>
        <w:rPr>
          <w:rFonts w:ascii="Times New Roman"/>
          <w:b w:val="false"/>
          <w:i w:val="false"/>
          <w:color w:val="000000"/>
          <w:sz w:val="28"/>
        </w:rPr>
        <w:t>
      в графе 4 указывается форма завершения мероприятий;</w:t>
      </w:r>
      <w:r>
        <w:br/>
      </w:r>
      <w:r>
        <w:rPr>
          <w:rFonts w:ascii="Times New Roman"/>
          <w:b w:val="false"/>
          <w:i w:val="false"/>
          <w:color w:val="000000"/>
          <w:sz w:val="28"/>
        </w:rPr>
        <w:t>
</w:t>
      </w:r>
      <w:r>
        <w:rPr>
          <w:rFonts w:ascii="Times New Roman"/>
          <w:b w:val="false"/>
          <w:i w:val="false"/>
          <w:color w:val="000000"/>
          <w:sz w:val="28"/>
        </w:rPr>
        <w:t>
      в графе 5 указываются лица, ответственные за выполнение каждого мероприятия;</w:t>
      </w:r>
      <w:r>
        <w:br/>
      </w:r>
      <w:r>
        <w:rPr>
          <w:rFonts w:ascii="Times New Roman"/>
          <w:b w:val="false"/>
          <w:i w:val="false"/>
          <w:color w:val="000000"/>
          <w:sz w:val="28"/>
        </w:rPr>
        <w:t>
</w:t>
      </w:r>
      <w:r>
        <w:rPr>
          <w:rFonts w:ascii="Times New Roman"/>
          <w:b w:val="false"/>
          <w:i w:val="false"/>
          <w:color w:val="000000"/>
          <w:sz w:val="28"/>
        </w:rPr>
        <w:t>
      в графе 6 указывается срок исполнения каждого мероприятия;</w:t>
      </w:r>
      <w:r>
        <w:br/>
      </w:r>
      <w:r>
        <w:rPr>
          <w:rFonts w:ascii="Times New Roman"/>
          <w:b w:val="false"/>
          <w:i w:val="false"/>
          <w:color w:val="000000"/>
          <w:sz w:val="28"/>
        </w:rPr>
        <w:t>
</w:t>
      </w:r>
      <w:r>
        <w:rPr>
          <w:rFonts w:ascii="Times New Roman"/>
          <w:b w:val="false"/>
          <w:i w:val="false"/>
          <w:color w:val="000000"/>
          <w:sz w:val="28"/>
        </w:rPr>
        <w:t>
      в графе 7 указываются предполагаемые объемы финансовых расходов, выделяемых для реализации каждого мероприятия;</w:t>
      </w:r>
      <w:r>
        <w:br/>
      </w:r>
      <w:r>
        <w:rPr>
          <w:rFonts w:ascii="Times New Roman"/>
          <w:b w:val="false"/>
          <w:i w:val="false"/>
          <w:color w:val="000000"/>
          <w:sz w:val="28"/>
        </w:rPr>
        <w:t>
</w:t>
      </w:r>
      <w:r>
        <w:rPr>
          <w:rFonts w:ascii="Times New Roman"/>
          <w:b w:val="false"/>
          <w:i w:val="false"/>
          <w:color w:val="000000"/>
          <w:sz w:val="28"/>
        </w:rPr>
        <w:t>
      в графе 8 указываются источники финансирования мероприятий.</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