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d696" w14:textId="eb9d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327.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2002 г., № 27, ст. 304)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Комплектность представленных материалов проекта, соответствие их состава требованиям, установленным государственными нормативами, проверяется в течение пяти календарных дней со дня их поступления на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некомплектности проекта либо его несоответствия требованиям по составу заказчику (инвестору) либо уполномоченному им генеральному проектировщику направляется письменное уведомление о недостающих материалах либо приведении проекта в соответствие с требованиями по составу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заказчик (инвестор) либо уполномоченный им генеральный проектировщик не предоставил недостающие материалы, либо представленные им материалы не соответствуют требованиям по составу, то проект возвращается с письменным обоснованием причин после истечения семи календарных дней со дня отправки Уведомления.»;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Сроки и продолжительность проведения экспертизы проектов, не относящихся к компетенции государственной экспертизы и осуществляемой субъектами рынка экспертных работ, устанавливаются их договором, но не должны превышать сорока пяти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Не допускается увеличение сметной стоимости бюджетных инвестиционных проектов в связи с корректировкой проектно-сметной документации или включением в нее дополнительных компонентов, влекущих дополнительные расходы бюджета, не предусмотренных в утвержденном технико-экономическом обосновании или типовом проекте бюджетного инвестиционного проекта, без рассмотрения и предложения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