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98e6a" w14:textId="3f98e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2 апреля 2010 года № 962 "О Концепции формирования и использования средств Национального фонда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февраля 2012 года № 239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 апреля 2010 года № 962 «О Концепции формирования и использования средств Национального фонда Республики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внесении изменений в Указ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от 2 апреля 2010 года № 962 «О Концепции формирования и</w:t>
      </w:r>
      <w:r>
        <w:br/>
      </w:r>
      <w:r>
        <w:rPr>
          <w:rFonts w:ascii="Times New Roman"/>
          <w:b/>
          <w:i w:val="false"/>
          <w:color w:val="000000"/>
        </w:rPr>
        <w:t>
использования средств Национального фонда Республики Казахстан»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 апреля 2010 года № 962 «О Концепции формирования и использования средств Национального фонда Республики Казахстан» (САПП Республики Казахстан, 2010 г., № 27, ст. 203)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использования средств Национального фонда Республики Казахстан, одобренной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нумерацию разделов «I», «II», «III», «IV», «V», «VI», «VII» обозначить арабскими цифрами «1», «2», «3», «4», «5», «6», «7» соответственно;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в </w:t>
      </w:r>
      <w:r>
        <w:rPr>
          <w:rFonts w:ascii="Times New Roman"/>
          <w:b w:val="false"/>
          <w:i w:val="false"/>
          <w:color w:val="000000"/>
          <w:sz w:val="28"/>
        </w:rPr>
        <w:t>разделе 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«Порядок формирования и использования средств Национального фонда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 новым подходом по использованию средств Национального фонда на следующее десятилетие нововведением является выделение гарантированного трансферта в республиканский бюджет в абсолютном значении в размере 8 млрд. долларов США. При этом, размер гарантированного трансферта в республиканский бюджет может корректироваться в сторону уменьшения или увеличения до 15 % (от 6,8 до 9,2 млрд. долларов США) в зависимости от ситуации в экономике (принцип контрцикличности). Кредитование юридических и физических лиц, использование активов в качестве обеспечения исполнения обязательств запрещено.»;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слово «фиксированного»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 </w:t>
      </w:r>
      <w:r>
        <w:rPr>
          <w:rFonts w:ascii="Times New Roman"/>
          <w:b w:val="false"/>
          <w:i w:val="false"/>
          <w:color w:val="000000"/>
          <w:sz w:val="28"/>
        </w:rPr>
        <w:t>раздела V</w:t>
      </w:r>
      <w:r>
        <w:rPr>
          <w:rFonts w:ascii="Times New Roman"/>
          <w:b w:val="false"/>
          <w:i w:val="false"/>
          <w:color w:val="000000"/>
          <w:sz w:val="28"/>
        </w:rPr>
        <w:t xml:space="preserve"> «Управление активами Национального фонда Республики Казахстан»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«Размещение активов Национального фонда должно осуществляться в финансовые инструменты, обращающиеся на финансовых рынках и включенные в Перечень разрешенных финансовых инструментов, за исключением нематериальных активов, утвержденные Правительством Республики Казахстан по предложению Совета по управлению Национальным фондом.».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