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bbbe13" w14:textId="6bbbe1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Санитарных правил "Санитарно-эпидемиологические требования по проведению профилактических прививок населению"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9 января 2012 года № 8. Утратило силу постановлением Правительства Республики Казахстан от 8 сентября 2015 года № 754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постановлением Правительства РК от 08.09.2015 </w:t>
      </w:r>
      <w:r>
        <w:rPr>
          <w:rFonts w:ascii="Times New Roman"/>
          <w:b w:val="false"/>
          <w:i w:val="false"/>
          <w:color w:val="ff0000"/>
          <w:sz w:val="28"/>
        </w:rPr>
        <w:t>№ 754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ПРЕСС-РЕЛИЗ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 w:val="false"/>
          <w:color w:val="ff0000"/>
          <w:sz w:val="28"/>
        </w:rPr>
        <w:t>Примечание РЦПИ!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В соответствии с Законом РК от 29.09.2014 г. </w:t>
      </w:r>
      <w:r>
        <w:rPr>
          <w:rFonts w:ascii="Times New Roman"/>
          <w:b w:val="false"/>
          <w:i w:val="false"/>
          <w:color w:val="000000"/>
          <w:sz w:val="28"/>
        </w:rPr>
        <w:t>№ 239-V</w:t>
      </w:r>
      <w:r>
        <w:rPr>
          <w:rFonts w:ascii="Times New Roman"/>
          <w:b w:val="false"/>
          <w:i w:val="false"/>
          <w:color w:val="ff0000"/>
          <w:sz w:val="28"/>
        </w:rPr>
        <w:t xml:space="preserve"> ЗРК по вопросам разграничения полномочий между уровнями государственного управления см.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ff0000"/>
          <w:sz w:val="28"/>
        </w:rPr>
        <w:t xml:space="preserve"> Министра национальной экономики Республики Казахстан от 6 марта 2015 года № 190.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2)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Кодекса Республики Казахстан от 18 сентября 2009 года «О здоровье народа и системе здравоохранения»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 </w:t>
      </w:r>
      <w:r>
        <w:rPr>
          <w:rFonts w:ascii="Times New Roman"/>
          <w:b w:val="false"/>
          <w:i w:val="false"/>
          <w:color w:val="000000"/>
          <w:sz w:val="28"/>
        </w:rPr>
        <w:t>Санитарные 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«Санитарно-эпидемиологические требования по проведению профилактических прививок населению».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со дня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К. Масимов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Утверждены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9 января 2012 года № 8  </w:t>
      </w:r>
    </w:p>
    <w:bookmarkEnd w:id="1"/>
    <w:bookmarkStart w:name="z11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Санитарные правила "Санитарно-эпидемиологические требования</w:t>
      </w:r>
      <w:r>
        <w:br/>
      </w:r>
      <w:r>
        <w:rPr>
          <w:rFonts w:ascii="Times New Roman"/>
          <w:b/>
          <w:i w:val="false"/>
          <w:color w:val="000000"/>
        </w:rPr>
        <w:t>
по проведению профилактических прививок населению"</w:t>
      </w:r>
    </w:p>
    <w:bookmarkEnd w:id="2"/>
    <w:bookmarkStart w:name="z13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3"/>
    <w:bookmarkStart w:name="z1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Санитарные правила "Санитарно-эпидемиологические требования по проведению профилактических прививок населению" (далее - Санитарные правила) устанавливают санитарно-эпидемиологические требования по проведению профилактических прививок.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В настоящих Санитарных правилах используются следующие понятия: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"открытый флакон" вакцины - флакон вакцины, вводимой инъекционным способом, из которого брали вакцину без удаления пробки проколом шприца;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убитые вакцины - вакцины, приготовленные из убитых или инактивированных микроорганизмов, а также из отдельных компонентов микробной клетки и продуктов их жизнедеятельности;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живые вакцины - вакцины, приготовленные из живых микроорганизмов.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Профилактические прививки населению по эпидемиологическим показаниям и приостановление проведения профилактических прививок в связи с регистрацией поствакцинальных осложнений осуществляются по постановлению Главного государственного санитарного врача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Для проведения профилактических прививок населению используются медицинские иммунобиологические препараты (вакцины, анатоксины, иммуноглобулины) (далее - ИБП), зарегистрированные и разрешенные в Республике Казахстан.</w:t>
      </w:r>
    </w:p>
    <w:bookmarkEnd w:id="4"/>
    <w:bookmarkStart w:name="z21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Санитарно-эпидемиологические требования к проведению</w:t>
      </w:r>
      <w:r>
        <w:br/>
      </w:r>
      <w:r>
        <w:rPr>
          <w:rFonts w:ascii="Times New Roman"/>
          <w:b/>
          <w:i w:val="false"/>
          <w:color w:val="000000"/>
        </w:rPr>
        <w:t>
профилактических прививок населению</w:t>
      </w:r>
    </w:p>
    <w:bookmarkEnd w:id="5"/>
    <w:bookmarkStart w:name="z2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Перед применением ИБП необходимо изучить приложенную к ней инструкцию, проверить маркировку и целостность ампулы (флакона), соответствие препарата прилагаемой инструкции.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Не допускается использование: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адсорбированного дифтерийно-столбнячного анатоксина (далее - АДС), адсорбированного дифтерийно-столбнячного анатоксина с уменьшенным содержанием антигена (далее - АДС-М), адсорбированного дифтерийного анатоксина с уменьшенным содержанием антигена (далее - АД-М), столбнячного анатоксина (далее - АС), вакцин, содержащей адсорбированную коклюшно-дифтерийно-столбнячную вакцину (далее - АКДС-содержащая вакцина), вакцин против вирусных гепатитов, пневмококковой инфекции и инактивированной вакцины против полиомиелита, подвергшихся замораживанию;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вакцин, подвергшихся действию повышенной температуры на основании показаний контрольной карточки-индикатора или индикатора на флаконе вакцины;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ИБП, в том числе вакцин и растворителей с истекшим сроком годности;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вакцин из открытых флаконов при несоблюдении соответствующих требований, предъявляемых к ним;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ИБП с нарушением целостности ампул (флаконов);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ИБП с неясной или отсутствующей маркировкой на ампуле (флаконе);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ИБП, не соответствующих описанию инструкции;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одноразовых шприцев с нарушением целостности упаковки и с истекшим сроком годности.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Лиофилизированные вакцины (против кори, паротита, краснухи, гемофильной инфекции, туберкулеза) растворяют приложенным к вакцине стандартным растворителем при строгом соблюдении правил асептики.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Обработка места введения ИБП производится 70 % спиртом, если нет других указаний в инструкциях, прилагаемых к вакцине.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При проведении профилактических прививок используется инструментарий (шприцы, иглы, скарификаторы) одноразового пользования.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Допускается совмещение различных видов профилактических прививок в один день, за исключением прививки против туберкулеза. Вакцины вводятся в разные участки тела и разными шприцами.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Если ИБП не вводились в один и тот же день, соблюдается интервал между живыми вакцинами не менее 4-х недель. Интервал между живыми и убитыми вакцинами не соблюдается.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После введения иммуноглобулина или препарата крови введение вакцин против кори, краснухи и паротита откладывается не менее чем на 3 месяца, без интервала между введением иммуноглобулинов или препаратов крови вводятся АКДС-содержащая вакцина, АДС, АДС-М, АД-М, вакцина против туберкулеза, пневмококковой инфекции, оральная вакцина против полиомиелита (далее - ОПВ).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После введения вакцин против кори, паротита, полиомиелита, туберкулеза соблюдается интервал для введения иммуноглобулина не менее чем 2 недели. Не соблюдается интервал после введения АКДС-содержащей вакцины, вакцины против пневмококковой инфекции, АДС, АДС-М, АД-М препаратов.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Использование "открытых флаконов" допускается при соблюдении следующих условий: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не истек срок годности препарата;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соблюдается температура хранения;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соблюдается стерильность;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отсутствуют видимые изменения вакцины.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"Открытые флаконы" АКДС-содержащей вакцины, АДС, АДС-М, АД-М, АС, вакцины против полиомиелита, против пневмококковой инфекции, против гепатита "В" и "А" допускаются к использованию в течение 3 дней при соблюдении условий, изложенных в пункте 14 настоящих Санитарных правил.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На этикетке "открытых флаконов" вакцин указывается дата и время открытия флаконов.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17. Не допускается перенос "открытых флаконов" из одного прививочного кабинета в другой.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18. Вакцины против кори, краснухи, паротита, туберкулеза, желтой лихорадки используются сразу или в течение 6 часов после разведения, если это допускается инструкцией, с последующим уничтожением остатков вакцин.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19. ИБП, выпускаемые в ампулах, используются сразу после открытия.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20. Флаконы, в том числе с остатками вакцин, использованные для иммунизации населения на дому, при выезде прививочными бригадами уничтожаются в конце рабочего дня.</w:t>
      </w:r>
    </w:p>
    <w:bookmarkEnd w:id="6"/>
    <w:bookmarkStart w:name="z51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Санитарно-эпидемиологические требования к помещениям</w:t>
      </w:r>
      <w:r>
        <w:br/>
      </w:r>
      <w:r>
        <w:rPr>
          <w:rFonts w:ascii="Times New Roman"/>
          <w:b/>
          <w:i w:val="false"/>
          <w:color w:val="000000"/>
        </w:rPr>
        <w:t>
для проведения профилактических прививок</w:t>
      </w:r>
    </w:p>
    <w:bookmarkEnd w:id="7"/>
    <w:bookmarkStart w:name="z5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В помещении, где проводятся профилактические прививки (далее - прививочный кабинет), не допускается проведение других медицинских процедур (манипуляций).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22. Внутренняя отделка прививочного кабинета имеет гладкую поверхность, выдерживающую влажную уборку и дезинфекцию. В прививочном кабинете предусматривается наличие: естественного освещения, централизованного водоснабжения, канализации, отопления, раковины для мытья рук. При отсутствии централизованного водоснабжения и канализации в прививочном кабинете создаются условия для соблюдения персоналом санитарно-гигиенического режима и личной гигиены.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23. Прививочный кабинет оснащается следующим оборудованием: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холодильник достаточной емкости для хранения ИБП;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термоконтейнер или холодильная сумка для транспортировки и хранения ИБП в течение рабочего дня;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термоконтейнер для временного хранения ИБП в случае аварийного отключения электроэнергии;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рабочий стол, стулья;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медицинский стол для подготовки ИБП к использованию;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медицинский шкаф для хранения инструментов и лекарственных средств;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пеленальный стол и (или) медицинская кушетка;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бикс со стерильным материалом;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9) тонометр, термометры, одноразовые шприцы, шпатели;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10) емкость для обеззараживания остатков ИБП;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11) коробка для безопасной утилизации использованных одноразовых шприцев (далее - КБУ).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24. Прививочный кабинет обеспечивается лекарственными препаратами противошоковой терапии: 0,1 процентный (далее - %) раствор адреналина, 1 % раствор мезатона, преднизолон (дексаметазон, гидрокортизон), 1 % тавегил (2,0 % супрастин), 2,4 % эуфиллин, 0,05 % строфантин, корглюкон, кордиамин.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25. В состав выездной прививочной бригады, укомплектованной автотранспортом, термоконтейнером, прививочным материалом, одноразовыми шприцами, противошоковыми препаратами входит квалифицированный врач и прививочная медицинская сестра.</w:t>
      </w:r>
    </w:p>
    <w:bookmarkEnd w:id="8"/>
    <w:bookmarkStart w:name="z69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Санитарно-эпидемиологические требования к</w:t>
      </w:r>
      <w:r>
        <w:br/>
      </w:r>
      <w:r>
        <w:rPr>
          <w:rFonts w:ascii="Times New Roman"/>
          <w:b/>
          <w:i w:val="false"/>
          <w:color w:val="000000"/>
        </w:rPr>
        <w:t>
введению вакцин и наблюдению за состоянием привитого</w:t>
      </w:r>
      <w:r>
        <w:br/>
      </w:r>
      <w:r>
        <w:rPr>
          <w:rFonts w:ascii="Times New Roman"/>
          <w:b/>
          <w:i w:val="false"/>
          <w:color w:val="000000"/>
        </w:rPr>
        <w:t>
в поствакцинальном периоде</w:t>
      </w:r>
    </w:p>
    <w:bookmarkEnd w:id="9"/>
    <w:bookmarkStart w:name="z7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Профилактическая прививка проводится после осмотра прививаемого врачом, при отсутствии врача - фельдшером, который при отсутствии противопоказаний к иммунизации оформляет допуск к проведению прививки в медицинском документе прививаемого.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27. После получения прививки привитые лица в течение 30 минут находятся в организации здравоохранения под наблюдением медицинского работника, для принятия мер в случае возникновения поствакцинальных осложнений или нехарактерных поствакцинальных реакций (далее - ПВО или ПВР). В последующем медицинским работником сельской врачебной амбулатории (далее - СВА), участковым медицинским работником поликлиники обеспечивается наблюдение на дому - в первые три дня после введения убитой или инактивированной вакцины и на 5-6 и 10-11 день после введения живой вакцины.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28. После введения АКДС-содержащей вакцины проводится профилактика поствакцинальных осложнений с дачей парацетамола привитому лицу через 1 час после прививки каждые 6 часов, но не более 4-х раз в сутки в дозировке 10-15 миллиграмм на 1 килограмм веса в течение 1-3 суток.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29. Медицинский работник при осмотре проводит разъяснительную работу с прививаемыми лицами или родителями прививаемых детей о необходимости обращения за медицинской помощью в случае возникновения нехарактерной реакции на вакцинацию.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30. Медицинский работник, получивший вызов к привитому лицу, немедленно обслуживает данный вызов, оказывает неотложную медицинскую помощь и при показаниях госпитализирует его. В случае подозрения на ПВО или ПВР медицинский работник немедленно передает экстренное извещение.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31. Каждый случай ПВО или ПВР подлежит немедленному расследованию, которое начинает проводить медицинский работник, первый поставивший диагноз. В последующем к расследованию подключается бригада специалистов территориальных органов государственного санитарно-эпидемиологического надзора (далее - ГСЭН) и управлений здравоохранения. В случае необходимости в бригаду включают невропатолога, аллерголога, фтизиатра, инфекциониста, патологоанатома и других специалистов. По результатам расследования оформляется отчет о ПВО или ПВР,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Санитарным правилам, который в течение 10 дней с момента регистрации случая ПВО или ПВР предоставляется в Комитет ГСЭН Министерства здравоохранения Республики Казахстан (далее - МЗ РК). При летальном исходе прилагается копия протокола патологоанатомического вскрытия и гистологического исследования.</w:t>
      </w:r>
    </w:p>
    <w:bookmarkEnd w:id="10"/>
    <w:bookmarkStart w:name="z78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5. Санитарно-эпидемиологические требования к учету</w:t>
      </w:r>
      <w:r>
        <w:br/>
      </w:r>
      <w:r>
        <w:rPr>
          <w:rFonts w:ascii="Times New Roman"/>
          <w:b/>
          <w:i w:val="false"/>
          <w:color w:val="000000"/>
        </w:rPr>
        <w:t>
контингента детей, подлежащих профилактическим прививкам</w:t>
      </w:r>
      <w:r>
        <w:br/>
      </w:r>
      <w:r>
        <w:rPr>
          <w:rFonts w:ascii="Times New Roman"/>
          <w:b/>
          <w:i w:val="false"/>
          <w:color w:val="000000"/>
        </w:rPr>
        <w:t>
и учет выполненных профилактических прививок</w:t>
      </w:r>
    </w:p>
    <w:bookmarkEnd w:id="11"/>
    <w:bookmarkStart w:name="z8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Для обеспечения полного охвата профилактическими прививками подлежащего иммунизации контингента проводится учет детей, проживающих на территории, силами медицинских работников организаций здравоохранения (фельдшерский акушерский пункт, СВА, поликлиника) 2 раза в год (весна-осень), с внесением изменений в составе детского населения в журнал переписи.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33. Проводится ежемесячное наблюдение за динамикой детского населения, с внесением в журнал переписи пофамильных данных о родившихся, умерших, прибывших или убывших лицах.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34. Активное выявление детей, прибывших на обслуживаемый участок, осуществляется при посещении медицинским работником больных на дому, при обращении их за медицинской помощью в организации здравоохранения, консультативно-диагностические поликлиники (далее - КДП), при выборочном контроле достоверности учета детей.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35. Учет взрослого контингента проводится силами медицинских работников организаций здравоохранения один раз в год перед составлением планов профилактических прививок (август-сентябрь).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36. Суммарные данные о количестве населения, проживающего на обслуживаемой территории по возрастным группам, передаются в течение 14 дней после окончания учета в территориальные органы ГСЭН и местные органы государственного управления здравоохранением областей, города республиканского значения и столицы.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37. Учет профилактических прививок, осуществляется соответствующими записями в учетных формах, которые хранятся в организациях здравоохранения по месту проведения прививок.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38. Персональный учет профилактических прививок ведется в прививочном паспорте.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39. Координация и контроль полноты учета и охвата населения прививками возложены на территориальные организации здравоохранения: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участковые врачи составляют годовые планы профилактических прививок, организуют проведение прививок и ежемесячно сдают отчеты о профилактических прививках и движении вакцин в КДП;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КДП делают свод плана профилактических прививок, свод ежемесячных отчетов о профилактических прививках и движении вакцин;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КДП предоставляет сводный план профилактических прививок и сводные ежемесячные отчеты о движении вакцин в территориальные управления здравоохранения, сводные ежемесячные отчеты о профилактических прививках в территориальные органы ГСЭН.</w:t>
      </w:r>
    </w:p>
    <w:bookmarkEnd w:id="12"/>
    <w:bookmarkStart w:name="z92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6. Санитарно-эпидемиологические требования</w:t>
      </w:r>
      <w:r>
        <w:br/>
      </w:r>
      <w:r>
        <w:rPr>
          <w:rFonts w:ascii="Times New Roman"/>
          <w:b/>
          <w:i w:val="false"/>
          <w:color w:val="000000"/>
        </w:rPr>
        <w:t>
к учету и отчетности о движении вакцин и растворителей</w:t>
      </w:r>
    </w:p>
    <w:bookmarkEnd w:id="13"/>
    <w:bookmarkStart w:name="z9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40. Организации здравоохранения, проводящие профилактические прививки населению проводят учет вакцин, растворителей и других ИБП.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41. Организации здравоохранения, проводящие профилактические прививки населению в установленные сроки представляют ежемесячные отчеты о движении вакцин в территориальные управления здравоохранения и отчеты о профилактических прививках - в территориальные органы ГСЭН.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42. Для предотвращения избыточного запаса ИБП, на складах областного уровня управлений здравоохранения вакцина хранится в объеме не более 6 месячного запаса, городского/районного уровня - не более 3 месячного и в организации здравоохранения, проводящей прививки - не более месячного запаса.</w:t>
      </w:r>
    </w:p>
    <w:bookmarkEnd w:id="14"/>
    <w:bookmarkStart w:name="z97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7. Санитарно-эпидемиологические требования к уничтожению</w:t>
      </w:r>
      <w:r>
        <w:br/>
      </w:r>
      <w:r>
        <w:rPr>
          <w:rFonts w:ascii="Times New Roman"/>
          <w:b/>
          <w:i w:val="false"/>
          <w:color w:val="000000"/>
        </w:rPr>
        <w:t>
неиспользованных остатков иммунобиологических препаратов</w:t>
      </w:r>
    </w:p>
    <w:bookmarkEnd w:id="15"/>
    <w:bookmarkStart w:name="z9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43. Ампулы и флаконы, содержащие неиспользованные остатки ИБП, обеззараживаются и уничтожаются медицинским работником, проводившим прививку, одним из следующих способов: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кипячением в течение 30 минут (вакцины против сибирской язвы - 2 часа);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погружением в дезинфицирующее средство, зарегистрированное и разрешенное в Республике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44. В целях недопущения травм и заражения, использованные одноразовые шприцы и иглы не разбираются, не подвергаются деформации, не допускается их промывка и дезинфекция, они подлежат сбору и утилизации.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45. Сразу после использования одноразовые шприцы и иглы сбрасываются в непрокалываемые, водонепроницаемые КБУ и утилизируются в установленном порядке.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46. Если 1 % ампул (флаконов) в партии ИБП не соответствуют требованиям приложенной к ней инструкции, то вся партия ИБП подлежит уничтожению, способом, указанным в пункте 43 настоящих санитарных правил.</w:t>
      </w:r>
    </w:p>
    <w:bookmarkEnd w:id="16"/>
    <w:bookmarkStart w:name="z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санитарным правилам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«Санитарно-эпидемиологические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требования по проведению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профилактических прививок населению»  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Форма</w:t>
      </w:r>
    </w:p>
    <w:bookmarkStart w:name="z5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Отчет</w:t>
      </w:r>
      <w:r>
        <w:br/>
      </w:r>
      <w:r>
        <w:rPr>
          <w:rFonts w:ascii="Times New Roman"/>
          <w:b/>
          <w:i w:val="false"/>
          <w:color w:val="000000"/>
        </w:rPr>
        <w:t>
о поствакцинальных осложнениях или поствакцинальных реакциях (включать состояния, не относящиеся к сопутствующим заболеваниям)*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Таблица 1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81"/>
        <w:gridCol w:w="2776"/>
        <w:gridCol w:w="1465"/>
        <w:gridCol w:w="2797"/>
        <w:gridCol w:w="2518"/>
        <w:gridCol w:w="1903"/>
      </w:tblGrid>
      <w:tr>
        <w:trPr>
          <w:trHeight w:val="30" w:hRule="atLeast"/>
        </w:trPr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Фамилия,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пациента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 рождения,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день, месяц,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вакцины, дата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(день, месяц,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год), доза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способ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введения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проводившая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вакцинацию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обращения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день</w:t>
            </w:r>
          </w:p>
        </w:tc>
      </w:tr>
      <w:tr>
        <w:trPr>
          <w:trHeight w:val="30" w:hRule="atLeast"/>
        </w:trPr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56"/>
        <w:gridCol w:w="1810"/>
        <w:gridCol w:w="1099"/>
        <w:gridCol w:w="1393"/>
        <w:gridCol w:w="2143"/>
        <w:gridCol w:w="2412"/>
        <w:gridCol w:w="2567"/>
      </w:tblGrid>
      <w:tr>
        <w:trPr>
          <w:trHeight w:val="30" w:hRule="atLeast"/>
        </w:trPr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госпита-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вакцины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серии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ности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Реакция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предыдущую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вакцинацию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(указать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вакцину,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серию)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Выявленные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нарушения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иммунизации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вакцины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поступившей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область</w:t>
            </w:r>
          </w:p>
        </w:tc>
      </w:tr>
      <w:tr>
        <w:trPr>
          <w:trHeight w:val="30" w:hRule="atLeast"/>
        </w:trPr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</w:tr>
      <w:tr>
        <w:trPr>
          <w:trHeight w:val="30" w:hRule="atLeast"/>
        </w:trPr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78"/>
        <w:gridCol w:w="1999"/>
        <w:gridCol w:w="1781"/>
        <w:gridCol w:w="2118"/>
        <w:gridCol w:w="2059"/>
        <w:gridCol w:w="1504"/>
        <w:gridCol w:w="1801"/>
      </w:tblGrid>
      <w:tr>
        <w:trPr>
          <w:trHeight w:val="30" w:hRule="atLeast"/>
        </w:trPr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вакцин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пившей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район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вакцин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пившей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привитых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серией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области/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реакций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привитых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серией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районе/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реакций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привитых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серией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поселке/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реакций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Оконча-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диагноз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Исход: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выздоро-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вление,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смерть,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инвалид-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ность</w:t>
            </w:r>
          </w:p>
        </w:tc>
      </w:tr>
      <w:tr>
        <w:trPr>
          <w:trHeight w:val="30" w:hRule="atLeast"/>
        </w:trPr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30" w:hRule="atLeast"/>
        </w:trPr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Таблица 2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533"/>
        <w:gridCol w:w="1893"/>
        <w:gridCol w:w="1513"/>
        <w:gridCol w:w="1413"/>
      </w:tblGrid>
      <w:tr>
        <w:trPr>
          <w:trHeight w:val="30" w:hRule="atLeast"/>
        </w:trPr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 поствакцинальной реакции **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минута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часы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дни</w:t>
            </w:r>
          </w:p>
        </w:tc>
      </w:tr>
      <w:tr>
        <w:trPr>
          <w:trHeight w:val="30" w:hRule="atLeast"/>
        </w:trPr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Местная реакция в месте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вакцинации: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инфицированный абсцесс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стерильный абсцесс/узелок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обширная припухлость,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захватывающая близлежащую(ие)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область(и)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лимфаденит (БЦЖ-ит)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припухлость околоушных желез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Общие реакции: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лихорадка (температура тела 39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выше)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реакция Центральной нервной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системы: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судороги фебрильные/энцефалопатия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судороги афебрильные/энцефалит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судороги в анамнезе (фебрильные,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афебрильные подчеркнуть)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необычный плач (пронзительный крик,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продолжительность более 2 часов)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серозный менингит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острый вялый паралич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Аллергическая реакция: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анафилактический шок (внезапный,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приводящий к кардиоваскулярному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коллапсу, бронхоспазму, отеку гортани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к необходимости метода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искусственного дыхания)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90" w:hRule="atLeast"/>
        </w:trPr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сосудистая реакция (резкая,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нарастающая бледность кожных покровов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акроцианозом - картина острой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надпочечниковой недостаточности)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сыпь (крапивница, отек Квинке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другие)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сыпь геморрагическая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Все случаи смерти, которые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подозреваются медицинскими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работниками или населением как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связанные с вакцинацией.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Все случаи госпитализации,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связанные с иммунизацией.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* Отчет составляется и предоставляется в Комитет ГСЭН МЗ РК не позднее 15 дней после регистрации случая ПВО или ПВР по данной схеме.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**Интервалы между вакцинацией и началом реакции отметить в минутах, часах и днях.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