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1990" w14:textId="2391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конкурсного отбора лиц для управления управляющей компанией специальной экономической зоны, а также требований к ним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1723. Утратило силу постановлением Правительства Республики Казахстан от 24 ноября 2015 года № 941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24.11.2015 </w:t>
      </w:r>
      <w:r>
        <w:rPr>
          <w:rFonts w:ascii="Times New Roman"/>
          <w:b w:val="false"/>
          <w:i w:val="false"/>
          <w:color w:val="ff0000"/>
          <w:sz w:val="28"/>
        </w:rPr>
        <w:t>№ 941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по инвестициям и развитию РК от 27.02. 2015 г. № 224.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19 Закона Республики Казахстан от 21 июля 2011 года "О специальных экономических зонах в Республике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конкурсного отбора лиц для управления управляющей компанией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требования</w:t>
      </w:r>
      <w:r>
        <w:rPr>
          <w:rFonts w:ascii="Times New Roman"/>
          <w:b w:val="false"/>
          <w:i w:val="false"/>
          <w:color w:val="000000"/>
          <w:sz w:val="28"/>
        </w:rPr>
        <w:t>, предъявляемые к лицам для управления управляющей компанией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1723</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конкурсного отбора лиц для управления</w:t>
      </w:r>
      <w:r>
        <w:br/>
      </w:r>
      <w:r>
        <w:rPr>
          <w:rFonts w:ascii="Times New Roman"/>
          <w:b/>
          <w:i w:val="false"/>
          <w:color w:val="000000"/>
        </w:rPr>
        <w:t>
управляющей компанией специальной экономической зоны</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Правила проведения конкурсного отбора лиц для управления управляющей компанией специальной экономической зоны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(далее – Закон) и определяют порядок организации и проведения конкурсного отбора лиц для управления управляющей компанией специальной экономической зоны, созданной по инициативе центральных или местных исполнительных органов области, города республиканского значения, столицы, более пятидесяти процентов голосующих акций которой принадлежат государству, если иное не установлено актом Президента Республики Казахстан о создании специальной экономической зоны. Избрание лица в качестве руководителя исполнительного органа либо лица, единолично исполняющего функции исполнительного органа управляющей компании специальной экономической зоны, созданной по инициативе негосударственных юридических лиц,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специальная экономическая зона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приоритетных видов деятельности;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3) управляющая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в организационно-правовой форме акционерного общества для обеспечения функционирования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4) участники конкурса – физические лица, подавшие заявку на участие в конкурсе отбора лиц для управления управляющей компанией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3. Предметом конкурса является отбор физических лиц для избрания руководителем исполнительного органа либо лица, единолично, исполняющего функции исполнительного органа управляющей компании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4. Конкурсный отбор является открытым и осуществляется в течение шестидесяти календарных дней со дня внесения Правительством Республики Казахстан представления о создании специальной экономической зоны Президенту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5. Конкурсная комиссия для отбора лиц для управления управляющей компанией (далее – Конкурсная комиссия) формируется уполномоченным органом совместно с соответствующими заинтересованными государственными органами и учредителями управляющей компании. Состав Конкурсной комиссии утверждается уполномоченным органом в течение двадцати календарных дней со дня окончания срока приема заявок на участие в конкурсе.</w:t>
      </w:r>
    </w:p>
    <w:bookmarkEnd w:id="4"/>
    <w:bookmarkStart w:name="z18" w:id="5"/>
    <w:p>
      <w:pPr>
        <w:spacing w:after="0"/>
        <w:ind w:left="0"/>
        <w:jc w:val="left"/>
      </w:pPr>
      <w:r>
        <w:rPr>
          <w:rFonts w:ascii="Times New Roman"/>
          <w:b/>
          <w:i w:val="false"/>
          <w:color w:val="000000"/>
        </w:rPr>
        <w:t xml:space="preserve"> 
2. Порядок проведения конкурсного отбора лиц для управления</w:t>
      </w:r>
      <w:r>
        <w:br/>
      </w:r>
      <w:r>
        <w:rPr>
          <w:rFonts w:ascii="Times New Roman"/>
          <w:b/>
          <w:i w:val="false"/>
          <w:color w:val="000000"/>
        </w:rPr>
        <w:t>
управляющей компанией</w:t>
      </w:r>
    </w:p>
    <w:bookmarkEnd w:id="5"/>
    <w:bookmarkStart w:name="z19" w:id="6"/>
    <w:p>
      <w:pPr>
        <w:spacing w:after="0"/>
        <w:ind w:left="0"/>
        <w:jc w:val="both"/>
      </w:pPr>
      <w:r>
        <w:rPr>
          <w:rFonts w:ascii="Times New Roman"/>
          <w:b w:val="false"/>
          <w:i w:val="false"/>
          <w:color w:val="000000"/>
          <w:sz w:val="28"/>
        </w:rPr>
        <w:t>
      6. Уполномоченный орган размещает объявление о проведении конкурса по отбору лица для управления управляющей компанией специальной экономической зоны и о сроке, не превышающим двадцать календарных дней, в течение которого участники подают заявки на участие в конкурсе в средствах массовой информации, издаваемых на республиканском и международном уровнях на казахском, русском и других языках, а также на официальном веб-сайте уполномоченного органа.</w:t>
      </w:r>
      <w:r>
        <w:br/>
      </w:r>
      <w:r>
        <w:rPr>
          <w:rFonts w:ascii="Times New Roman"/>
          <w:b w:val="false"/>
          <w:i w:val="false"/>
          <w:color w:val="000000"/>
          <w:sz w:val="28"/>
        </w:rPr>
        <w:t>
</w:t>
      </w:r>
      <w:r>
        <w:rPr>
          <w:rFonts w:ascii="Times New Roman"/>
          <w:b w:val="false"/>
          <w:i w:val="false"/>
          <w:color w:val="000000"/>
          <w:sz w:val="28"/>
        </w:rPr>
        <w:t>
      7. Уполномоченный орган при необходимости может продлить срок подачи заявок на участие в конкурсе до десяти календарных дней, но не позднее пяти календарных дней до завершения ранее установленного срока.</w:t>
      </w:r>
      <w:r>
        <w:br/>
      </w:r>
      <w:r>
        <w:rPr>
          <w:rFonts w:ascii="Times New Roman"/>
          <w:b w:val="false"/>
          <w:i w:val="false"/>
          <w:color w:val="000000"/>
          <w:sz w:val="28"/>
        </w:rPr>
        <w:t>
</w:t>
      </w:r>
      <w:r>
        <w:rPr>
          <w:rFonts w:ascii="Times New Roman"/>
          <w:b w:val="false"/>
          <w:i w:val="false"/>
          <w:color w:val="000000"/>
          <w:sz w:val="28"/>
        </w:rPr>
        <w:t>
      8. Процедура конкурсного отбора лиц для управления управляющей компанией состоит из следующих двух этапов:</w:t>
      </w:r>
      <w:r>
        <w:br/>
      </w:r>
      <w:r>
        <w:rPr>
          <w:rFonts w:ascii="Times New Roman"/>
          <w:b w:val="false"/>
          <w:i w:val="false"/>
          <w:color w:val="000000"/>
          <w:sz w:val="28"/>
        </w:rPr>
        <w:t>
</w:t>
      </w:r>
      <w:r>
        <w:rPr>
          <w:rFonts w:ascii="Times New Roman"/>
          <w:b w:val="false"/>
          <w:i w:val="false"/>
          <w:color w:val="000000"/>
          <w:sz w:val="28"/>
        </w:rPr>
        <w:t>
      1) рассмотрение уполномоченным органом, заявок на участие в конкурсе на соответствие требованиям, предъявляемым к лицам для управления управляющей компанией;</w:t>
      </w:r>
      <w:r>
        <w:br/>
      </w:r>
      <w:r>
        <w:rPr>
          <w:rFonts w:ascii="Times New Roman"/>
          <w:b w:val="false"/>
          <w:i w:val="false"/>
          <w:color w:val="000000"/>
          <w:sz w:val="28"/>
        </w:rPr>
        <w:t>
</w:t>
      </w:r>
      <w:r>
        <w:rPr>
          <w:rFonts w:ascii="Times New Roman"/>
          <w:b w:val="false"/>
          <w:i w:val="false"/>
          <w:color w:val="000000"/>
          <w:sz w:val="28"/>
        </w:rPr>
        <w:t>
      2) рассмотрение Конкурсной комиссией, конкурсных предложений участников, допущенных к участию во втором этапе конкурса и проведение с ними собеседования, по итогам которых осуществляется определение лиц, рекомендуемых для избрания в исполнительный орган управления Управляющей компании.</w:t>
      </w:r>
      <w:r>
        <w:br/>
      </w:r>
      <w:r>
        <w:rPr>
          <w:rFonts w:ascii="Times New Roman"/>
          <w:b w:val="false"/>
          <w:i w:val="false"/>
          <w:color w:val="000000"/>
          <w:sz w:val="28"/>
        </w:rPr>
        <w:t>
</w:t>
      </w:r>
      <w:r>
        <w:rPr>
          <w:rFonts w:ascii="Times New Roman"/>
          <w:b w:val="false"/>
          <w:i w:val="false"/>
          <w:color w:val="000000"/>
          <w:sz w:val="28"/>
        </w:rPr>
        <w:t>
      9. К участию в конкурсе не допускаются физические лица:</w:t>
      </w:r>
      <w:r>
        <w:br/>
      </w:r>
      <w:r>
        <w:rPr>
          <w:rFonts w:ascii="Times New Roman"/>
          <w:b w:val="false"/>
          <w:i w:val="false"/>
          <w:color w:val="000000"/>
          <w:sz w:val="28"/>
        </w:rPr>
        <w:t>
</w:t>
      </w:r>
      <w:r>
        <w:rPr>
          <w:rFonts w:ascii="Times New Roman"/>
          <w:b w:val="false"/>
          <w:i w:val="false"/>
          <w:color w:val="000000"/>
          <w:sz w:val="28"/>
        </w:rPr>
        <w:t>
      1) лица, имеющие непогашенную или неснятую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судимость;</w:t>
      </w:r>
      <w:r>
        <w:br/>
      </w:r>
      <w:r>
        <w:rPr>
          <w:rFonts w:ascii="Times New Roman"/>
          <w:b w:val="false"/>
          <w:i w:val="false"/>
          <w:color w:val="000000"/>
          <w:sz w:val="28"/>
        </w:rPr>
        <w:t>
</w:t>
      </w:r>
      <w:r>
        <w:rPr>
          <w:rFonts w:ascii="Times New Roman"/>
          <w:b w:val="false"/>
          <w:i w:val="false"/>
          <w:color w:val="000000"/>
          <w:sz w:val="28"/>
        </w:rPr>
        <w:t>
      2) ранее являвшиеся первыми руководителями совета директоров, первыми руководителями правления (лицами, единолично осуществляющими функции исполнительного органа) и их заместителями, главными бухгалтерами, акционерами, владеющими, пользующимися, распоряжающимися акциями в размере десяти и более процентов от общего количества размещенных (голосующих) акций акционерного общества в период не более чем за один год до принятия решения о принудительной ликвидации или о признании его банкротом,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000000"/>
          <w:sz w:val="28"/>
        </w:rPr>
        <w:t>
      Указанное условие применяется в течение пяти лет после даты принятия данного решения;</w:t>
      </w:r>
      <w:r>
        <w:br/>
      </w:r>
      <w:r>
        <w:rPr>
          <w:rFonts w:ascii="Times New Roman"/>
          <w:b w:val="false"/>
          <w:i w:val="false"/>
          <w:color w:val="000000"/>
          <w:sz w:val="28"/>
        </w:rPr>
        <w:t>
</w:t>
      </w:r>
      <w:r>
        <w:rPr>
          <w:rFonts w:ascii="Times New Roman"/>
          <w:b w:val="false"/>
          <w:i w:val="false"/>
          <w:color w:val="000000"/>
          <w:sz w:val="28"/>
        </w:rPr>
        <w:t>
      3) являющиеся аффилированными лицами по отношению к действующим участникам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10. Для участия в конкурсе отбора лиц для управления управляющей компанией, участники конкурса предоставляют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заполненная и подписанная участником конкурса заявка на участие в конкурсе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на электронном и бумажном носителях;</w:t>
      </w:r>
      <w:r>
        <w:br/>
      </w:r>
      <w:r>
        <w:rPr>
          <w:rFonts w:ascii="Times New Roman"/>
          <w:b w:val="false"/>
          <w:i w:val="false"/>
          <w:color w:val="000000"/>
          <w:sz w:val="28"/>
        </w:rPr>
        <w:t>
</w:t>
      </w:r>
      <w:r>
        <w:rPr>
          <w:rFonts w:ascii="Times New Roman"/>
          <w:b w:val="false"/>
          <w:i w:val="false"/>
          <w:color w:val="000000"/>
          <w:sz w:val="28"/>
        </w:rPr>
        <w:t>
      2) нотариально засвидетельствованная копия либо копия при предоставлении оригинала для сверки удостоверения личности и/или паспорта;</w:t>
      </w:r>
      <w:r>
        <w:br/>
      </w:r>
      <w:r>
        <w:rPr>
          <w:rFonts w:ascii="Times New Roman"/>
          <w:b w:val="false"/>
          <w:i w:val="false"/>
          <w:color w:val="000000"/>
          <w:sz w:val="28"/>
        </w:rPr>
        <w:t>
</w:t>
      </w:r>
      <w:r>
        <w:rPr>
          <w:rFonts w:ascii="Times New Roman"/>
          <w:b w:val="false"/>
          <w:i w:val="false"/>
          <w:color w:val="000000"/>
          <w:sz w:val="28"/>
        </w:rPr>
        <w:t>
      3) нотариально засвидетельствованная копия либо копия при предоставлении оригинала для сверки документа, подтверждающего трудовую деятельность участника конкурса;</w:t>
      </w:r>
      <w:r>
        <w:br/>
      </w:r>
      <w:r>
        <w:rPr>
          <w:rFonts w:ascii="Times New Roman"/>
          <w:b w:val="false"/>
          <w:i w:val="false"/>
          <w:color w:val="000000"/>
          <w:sz w:val="28"/>
        </w:rPr>
        <w:t>
</w:t>
      </w:r>
      <w:r>
        <w:rPr>
          <w:rFonts w:ascii="Times New Roman"/>
          <w:b w:val="false"/>
          <w:i w:val="false"/>
          <w:color w:val="000000"/>
          <w:sz w:val="28"/>
        </w:rPr>
        <w:t>
      4) нотариально засвидетельствованная копия либо копия при предоставлении оригинала для сверки диплома об окончании высшего учебного заведения, также при наличии диплом об окончании магистерской или докторской программы;</w:t>
      </w:r>
      <w:r>
        <w:br/>
      </w:r>
      <w:r>
        <w:rPr>
          <w:rFonts w:ascii="Times New Roman"/>
          <w:b w:val="false"/>
          <w:i w:val="false"/>
          <w:color w:val="000000"/>
          <w:sz w:val="28"/>
        </w:rPr>
        <w:t>
</w:t>
      </w:r>
      <w:r>
        <w:rPr>
          <w:rFonts w:ascii="Times New Roman"/>
          <w:b w:val="false"/>
          <w:i w:val="false"/>
          <w:color w:val="000000"/>
          <w:sz w:val="28"/>
        </w:rPr>
        <w:t>
      5) копии сертификатов и других наград при наличии;</w:t>
      </w:r>
      <w:r>
        <w:br/>
      </w:r>
      <w:r>
        <w:rPr>
          <w:rFonts w:ascii="Times New Roman"/>
          <w:b w:val="false"/>
          <w:i w:val="false"/>
          <w:color w:val="000000"/>
          <w:sz w:val="28"/>
        </w:rPr>
        <w:t>
</w:t>
      </w:r>
      <w:r>
        <w:rPr>
          <w:rFonts w:ascii="Times New Roman"/>
          <w:b w:val="false"/>
          <w:i w:val="false"/>
          <w:color w:val="000000"/>
          <w:sz w:val="28"/>
        </w:rPr>
        <w:t>
      6) документ, подтверждающий, наличие/отсутствие судимости;</w:t>
      </w:r>
      <w:r>
        <w:br/>
      </w:r>
      <w:r>
        <w:rPr>
          <w:rFonts w:ascii="Times New Roman"/>
          <w:b w:val="false"/>
          <w:i w:val="false"/>
          <w:color w:val="000000"/>
          <w:sz w:val="28"/>
        </w:rPr>
        <w:t>
</w:t>
      </w:r>
      <w:r>
        <w:rPr>
          <w:rFonts w:ascii="Times New Roman"/>
          <w:b w:val="false"/>
          <w:i w:val="false"/>
          <w:color w:val="000000"/>
          <w:sz w:val="28"/>
        </w:rPr>
        <w:t>
      7) рекомендательные письма при наличии;</w:t>
      </w:r>
      <w:r>
        <w:br/>
      </w:r>
      <w:r>
        <w:rPr>
          <w:rFonts w:ascii="Times New Roman"/>
          <w:b w:val="false"/>
          <w:i w:val="false"/>
          <w:color w:val="000000"/>
          <w:sz w:val="28"/>
        </w:rPr>
        <w:t>
</w:t>
      </w:r>
      <w:r>
        <w:rPr>
          <w:rFonts w:ascii="Times New Roman"/>
          <w:b w:val="false"/>
          <w:i w:val="false"/>
          <w:color w:val="000000"/>
          <w:sz w:val="28"/>
        </w:rPr>
        <w:t>
      8) при представлении документов на иностранных языках, дополнительно прилагается нотариально заверенный перевод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Также участником могут быть приложены иные документы, подтверждающие соответствие требованиям, предъявляемые к лицам для управления управляющей компанией.</w:t>
      </w:r>
      <w:r>
        <w:br/>
      </w:r>
      <w:r>
        <w:rPr>
          <w:rFonts w:ascii="Times New Roman"/>
          <w:b w:val="false"/>
          <w:i w:val="false"/>
          <w:color w:val="000000"/>
          <w:sz w:val="28"/>
        </w:rPr>
        <w:t>
</w:t>
      </w:r>
      <w:r>
        <w:rPr>
          <w:rFonts w:ascii="Times New Roman"/>
          <w:b w:val="false"/>
          <w:i w:val="false"/>
          <w:color w:val="000000"/>
          <w:sz w:val="28"/>
        </w:rPr>
        <w:t>
      11. При представлении участником конкурса заявки на участие в конкурсе уполномоченный орган:</w:t>
      </w:r>
      <w:r>
        <w:br/>
      </w:r>
      <w:r>
        <w:rPr>
          <w:rFonts w:ascii="Times New Roman"/>
          <w:b w:val="false"/>
          <w:i w:val="false"/>
          <w:color w:val="000000"/>
          <w:sz w:val="28"/>
        </w:rPr>
        <w:t>
</w:t>
      </w:r>
      <w:r>
        <w:rPr>
          <w:rFonts w:ascii="Times New Roman"/>
          <w:b w:val="false"/>
          <w:i w:val="false"/>
          <w:color w:val="000000"/>
          <w:sz w:val="28"/>
        </w:rPr>
        <w:t>
      1) регистрирует заявку в журнале регистрации заявок в день ее подачи;</w:t>
      </w:r>
      <w:r>
        <w:br/>
      </w:r>
      <w:r>
        <w:rPr>
          <w:rFonts w:ascii="Times New Roman"/>
          <w:b w:val="false"/>
          <w:i w:val="false"/>
          <w:color w:val="000000"/>
          <w:sz w:val="28"/>
        </w:rPr>
        <w:t>
</w:t>
      </w:r>
      <w:r>
        <w:rPr>
          <w:rFonts w:ascii="Times New Roman"/>
          <w:b w:val="false"/>
          <w:i w:val="false"/>
          <w:color w:val="000000"/>
          <w:sz w:val="28"/>
        </w:rPr>
        <w:t>
      2) проверяет полноту пакета представленных документов, на их соответствие перечню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 возвращает заявку в день ее подачи в случае несоответствия предоставленных документов, установленному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перечню. Возвращение заявки не лишает участника конкурса права обратиться в уполномоченный орган с повторной заявкой после устранения допущенных недостатков.</w:t>
      </w:r>
      <w:r>
        <w:br/>
      </w:r>
      <w:r>
        <w:rPr>
          <w:rFonts w:ascii="Times New Roman"/>
          <w:b w:val="false"/>
          <w:i w:val="false"/>
          <w:color w:val="000000"/>
          <w:sz w:val="28"/>
        </w:rPr>
        <w:t>
</w:t>
      </w:r>
      <w:r>
        <w:rPr>
          <w:rFonts w:ascii="Times New Roman"/>
          <w:b w:val="false"/>
          <w:i w:val="false"/>
          <w:color w:val="000000"/>
          <w:sz w:val="28"/>
        </w:rPr>
        <w:t>
      12. Все документы, представленые участником конкурса принимаются по описи, копия которой направляется (вручается) заявителю с отметкой о дате приема документов уполномоченным органом.</w:t>
      </w:r>
      <w:r>
        <w:br/>
      </w:r>
      <w:r>
        <w:rPr>
          <w:rFonts w:ascii="Times New Roman"/>
          <w:b w:val="false"/>
          <w:i w:val="false"/>
          <w:color w:val="000000"/>
          <w:sz w:val="28"/>
        </w:rPr>
        <w:t>
</w:t>
      </w:r>
      <w:r>
        <w:rPr>
          <w:rFonts w:ascii="Times New Roman"/>
          <w:b w:val="false"/>
          <w:i w:val="false"/>
          <w:color w:val="000000"/>
          <w:sz w:val="28"/>
        </w:rPr>
        <w:t>
      13. Срок рассмотрения уполномоченным органом заявки и представленных участником конкурса документов на соответствие требованиям предъявляемые к лицам для управления управляющей компанией и достоверности отраженных в них сведений, составляет двадцать календарных дней со дня окончания срока приема заявок на участие в конкурсе.</w:t>
      </w:r>
      <w:r>
        <w:br/>
      </w:r>
      <w:r>
        <w:rPr>
          <w:rFonts w:ascii="Times New Roman"/>
          <w:b w:val="false"/>
          <w:i w:val="false"/>
          <w:color w:val="000000"/>
          <w:sz w:val="28"/>
        </w:rPr>
        <w:t>
</w:t>
      </w:r>
      <w:r>
        <w:rPr>
          <w:rFonts w:ascii="Times New Roman"/>
          <w:b w:val="false"/>
          <w:i w:val="false"/>
          <w:color w:val="000000"/>
          <w:sz w:val="28"/>
        </w:rPr>
        <w:t>
      14. Список участников, допущенных к участию во втором этапе конкурса, определенный уполномоченным органом по итогам представленных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утверждается уполномоченным органом и публикуется на официальном веб-сайте уполномоченного органа в течение двадцати календарных дней со дня окончания срока приема заявок на участие в конкурсе.</w:t>
      </w:r>
      <w:r>
        <w:br/>
      </w:r>
      <w:r>
        <w:rPr>
          <w:rFonts w:ascii="Times New Roman"/>
          <w:b w:val="false"/>
          <w:i w:val="false"/>
          <w:color w:val="000000"/>
          <w:sz w:val="28"/>
        </w:rPr>
        <w:t>
</w:t>
      </w:r>
      <w:r>
        <w:rPr>
          <w:rFonts w:ascii="Times New Roman"/>
          <w:b w:val="false"/>
          <w:i w:val="false"/>
          <w:color w:val="000000"/>
          <w:sz w:val="28"/>
        </w:rPr>
        <w:t>
      15. Участникам не прошедшим на второй этап конкурса направляется мотивированный отказ в дальнейшем участии конкурса в течение пяти календарных дней со дня официального опубликования списка участников.</w:t>
      </w:r>
      <w:r>
        <w:br/>
      </w:r>
      <w:r>
        <w:rPr>
          <w:rFonts w:ascii="Times New Roman"/>
          <w:b w:val="false"/>
          <w:i w:val="false"/>
          <w:color w:val="000000"/>
          <w:sz w:val="28"/>
        </w:rPr>
        <w:t>
</w:t>
      </w:r>
      <w:r>
        <w:rPr>
          <w:rFonts w:ascii="Times New Roman"/>
          <w:b w:val="false"/>
          <w:i w:val="false"/>
          <w:color w:val="000000"/>
          <w:sz w:val="28"/>
        </w:rPr>
        <w:t>
      16. Участники конкурса, допущенные ко второму этапу конкурса, в течение пяти календарных дней со дня официального опубликования на официальном веб-сайте уполномоченного органа списка участников, прошедших на второй этап конкурса, представляют уполномоченному органу для последующего вынесения на рассмотрение Конкурсной комиссии конкурсные предложения в свободной форме, содержащие:</w:t>
      </w:r>
      <w:r>
        <w:br/>
      </w:r>
      <w:r>
        <w:rPr>
          <w:rFonts w:ascii="Times New Roman"/>
          <w:b w:val="false"/>
          <w:i w:val="false"/>
          <w:color w:val="000000"/>
          <w:sz w:val="28"/>
        </w:rPr>
        <w:t>
</w:t>
      </w:r>
      <w:r>
        <w:rPr>
          <w:rFonts w:ascii="Times New Roman"/>
          <w:b w:val="false"/>
          <w:i w:val="false"/>
          <w:color w:val="000000"/>
          <w:sz w:val="28"/>
        </w:rPr>
        <w:t>
      1) справку с изложением имеющегося опыта работы с учетом специализации профиля деятельности СЭЗ;</w:t>
      </w:r>
      <w:r>
        <w:br/>
      </w:r>
      <w:r>
        <w:rPr>
          <w:rFonts w:ascii="Times New Roman"/>
          <w:b w:val="false"/>
          <w:i w:val="false"/>
          <w:color w:val="000000"/>
          <w:sz w:val="28"/>
        </w:rPr>
        <w:t>
</w:t>
      </w:r>
      <w:r>
        <w:rPr>
          <w:rFonts w:ascii="Times New Roman"/>
          <w:b w:val="false"/>
          <w:i w:val="false"/>
          <w:color w:val="000000"/>
          <w:sz w:val="28"/>
        </w:rPr>
        <w:t>
      2) видение стратегии развития СЭЗ;</w:t>
      </w:r>
      <w:r>
        <w:br/>
      </w:r>
      <w:r>
        <w:rPr>
          <w:rFonts w:ascii="Times New Roman"/>
          <w:b w:val="false"/>
          <w:i w:val="false"/>
          <w:color w:val="000000"/>
          <w:sz w:val="28"/>
        </w:rPr>
        <w:t>
</w:t>
      </w:r>
      <w:r>
        <w:rPr>
          <w:rFonts w:ascii="Times New Roman"/>
          <w:b w:val="false"/>
          <w:i w:val="false"/>
          <w:color w:val="000000"/>
          <w:sz w:val="28"/>
        </w:rPr>
        <w:t>
      3) механизмы и/или схему развития СЭЗ;</w:t>
      </w:r>
      <w:r>
        <w:br/>
      </w:r>
      <w:r>
        <w:rPr>
          <w:rFonts w:ascii="Times New Roman"/>
          <w:b w:val="false"/>
          <w:i w:val="false"/>
          <w:color w:val="000000"/>
          <w:sz w:val="28"/>
        </w:rPr>
        <w:t>
</w:t>
      </w:r>
      <w:r>
        <w:rPr>
          <w:rFonts w:ascii="Times New Roman"/>
          <w:b w:val="false"/>
          <w:i w:val="false"/>
          <w:color w:val="000000"/>
          <w:sz w:val="28"/>
        </w:rPr>
        <w:t>
      4) способы привлечения инвесторов в СЭЗ;</w:t>
      </w:r>
      <w:r>
        <w:br/>
      </w:r>
      <w:r>
        <w:rPr>
          <w:rFonts w:ascii="Times New Roman"/>
          <w:b w:val="false"/>
          <w:i w:val="false"/>
          <w:color w:val="000000"/>
          <w:sz w:val="28"/>
        </w:rPr>
        <w:t>
</w:t>
      </w:r>
      <w:r>
        <w:rPr>
          <w:rFonts w:ascii="Times New Roman"/>
          <w:b w:val="false"/>
          <w:i w:val="false"/>
          <w:color w:val="000000"/>
          <w:sz w:val="28"/>
        </w:rPr>
        <w:t>
      5) ожидаемые результаты (качественные и количественные показатели);</w:t>
      </w:r>
      <w:r>
        <w:br/>
      </w:r>
      <w:r>
        <w:rPr>
          <w:rFonts w:ascii="Times New Roman"/>
          <w:b w:val="false"/>
          <w:i w:val="false"/>
          <w:color w:val="000000"/>
          <w:sz w:val="28"/>
        </w:rPr>
        <w:t>
</w:t>
      </w:r>
      <w:r>
        <w:rPr>
          <w:rFonts w:ascii="Times New Roman"/>
          <w:b w:val="false"/>
          <w:i w:val="false"/>
          <w:color w:val="000000"/>
          <w:sz w:val="28"/>
        </w:rPr>
        <w:t>
      6) планируемые к применению методы подготовки и принятия управленческих решений с учетом интересов государства, учредителей управляющей компании и участников СЭЗ.</w:t>
      </w:r>
      <w:r>
        <w:br/>
      </w:r>
      <w:r>
        <w:rPr>
          <w:rFonts w:ascii="Times New Roman"/>
          <w:b w:val="false"/>
          <w:i w:val="false"/>
          <w:color w:val="000000"/>
          <w:sz w:val="28"/>
        </w:rPr>
        <w:t>
</w:t>
      </w:r>
      <w:r>
        <w:rPr>
          <w:rFonts w:ascii="Times New Roman"/>
          <w:b w:val="false"/>
          <w:i w:val="false"/>
          <w:color w:val="000000"/>
          <w:sz w:val="28"/>
        </w:rPr>
        <w:t>
      17. Конкурсная комиссия проводит собеседование и рассматривает представленные конкурсные предложения в течение пятнадцати календарных дней со дня завершения приема конкурсных предложений. Решение Конкурсной комиссии оформляется протоколом по итогам проведенного конкурса в течение двадцати календарных дней со дня окончания приема конкурсных предложений. Протокол подписывается всеми членами Конкурсной комиссии, принимавшими участие в ее заседании.</w:t>
      </w:r>
      <w:r>
        <w:br/>
      </w:r>
      <w:r>
        <w:rPr>
          <w:rFonts w:ascii="Times New Roman"/>
          <w:b w:val="false"/>
          <w:i w:val="false"/>
          <w:color w:val="000000"/>
          <w:sz w:val="28"/>
        </w:rPr>
        <w:t>
</w:t>
      </w:r>
      <w:r>
        <w:rPr>
          <w:rFonts w:ascii="Times New Roman"/>
          <w:b w:val="false"/>
          <w:i w:val="false"/>
          <w:color w:val="000000"/>
          <w:sz w:val="28"/>
        </w:rPr>
        <w:t>
      18. Конкурсная комиссия проводит заседания и принимает решения, если на ее заседании присутствует не менее двух третей от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членов, принявших участие в заседании. В случае равенства числа голосов, голос председателя Конкурсной комиссии считается решающим.</w:t>
      </w:r>
    </w:p>
    <w:bookmarkEnd w:id="6"/>
    <w:bookmarkStart w:name="z56" w:id="7"/>
    <w:p>
      <w:pPr>
        <w:spacing w:after="0"/>
        <w:ind w:left="0"/>
        <w:jc w:val="left"/>
      </w:pPr>
      <w:r>
        <w:rPr>
          <w:rFonts w:ascii="Times New Roman"/>
          <w:b/>
          <w:i w:val="false"/>
          <w:color w:val="000000"/>
        </w:rPr>
        <w:t xml:space="preserve"> 
3. Подведение итогов проведения конкурса</w:t>
      </w:r>
    </w:p>
    <w:bookmarkEnd w:id="7"/>
    <w:bookmarkStart w:name="z57" w:id="8"/>
    <w:p>
      <w:pPr>
        <w:spacing w:after="0"/>
        <w:ind w:left="0"/>
        <w:jc w:val="both"/>
      </w:pPr>
      <w:r>
        <w:rPr>
          <w:rFonts w:ascii="Times New Roman"/>
          <w:b w:val="false"/>
          <w:i w:val="false"/>
          <w:color w:val="000000"/>
          <w:sz w:val="28"/>
        </w:rPr>
        <w:t>
      19. Уполномоченный орган в течение пяти рабочих дней со дня подписания протокола Конкурсной комиссией, объявляет о результатах конкурса на официальном веб-сайте уполномоченного органа.</w:t>
      </w:r>
      <w:r>
        <w:br/>
      </w:r>
      <w:r>
        <w:rPr>
          <w:rFonts w:ascii="Times New Roman"/>
          <w:b w:val="false"/>
          <w:i w:val="false"/>
          <w:color w:val="000000"/>
          <w:sz w:val="28"/>
        </w:rPr>
        <w:t>
</w:t>
      </w:r>
      <w:r>
        <w:rPr>
          <w:rFonts w:ascii="Times New Roman"/>
          <w:b w:val="false"/>
          <w:i w:val="false"/>
          <w:color w:val="000000"/>
          <w:sz w:val="28"/>
        </w:rPr>
        <w:t>
      20. Участник конкурса, признанный по итогам конкурса победителем,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об акционерных обществах, рекомендуется для избрания руководителем исполнительного органа либо лица, единолично исполняющего функции исполнительного органа управляющей компании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21. Конкурс признается несостоявшимся в случае участия в конкурсе менее двух потенциальных лиц, соответствующих требованиям, предъявляемым к лицам для управления управляющей компанией.</w:t>
      </w:r>
      <w:r>
        <w:br/>
      </w:r>
      <w:r>
        <w:rPr>
          <w:rFonts w:ascii="Times New Roman"/>
          <w:b w:val="false"/>
          <w:i w:val="false"/>
          <w:color w:val="000000"/>
          <w:sz w:val="28"/>
        </w:rPr>
        <w:t>
</w:t>
      </w:r>
      <w:r>
        <w:rPr>
          <w:rFonts w:ascii="Times New Roman"/>
          <w:b w:val="false"/>
          <w:i w:val="false"/>
          <w:color w:val="000000"/>
          <w:sz w:val="28"/>
        </w:rPr>
        <w:t>
      22. При признании конкурса несостоявшимся уполномоченный орган объявляет о проведении повторного конкурса не позднее двух месяцев со дня признания конкурса несостоявшимся.</w:t>
      </w:r>
    </w:p>
    <w:bookmarkEnd w:id="8"/>
    <w:bookmarkStart w:name="z61" w:id="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1723</w:t>
      </w:r>
    </w:p>
    <w:bookmarkEnd w:id="9"/>
    <w:bookmarkStart w:name="z62" w:id="10"/>
    <w:p>
      <w:pPr>
        <w:spacing w:after="0"/>
        <w:ind w:left="0"/>
        <w:jc w:val="left"/>
      </w:pPr>
      <w:r>
        <w:rPr>
          <w:rFonts w:ascii="Times New Roman"/>
          <w:b/>
          <w:i w:val="false"/>
          <w:color w:val="000000"/>
        </w:rPr>
        <w:t xml:space="preserve"> 
Требования, предъявляемые к лицам для управления управляющей</w:t>
      </w:r>
      <w:r>
        <w:br/>
      </w:r>
      <w:r>
        <w:rPr>
          <w:rFonts w:ascii="Times New Roman"/>
          <w:b/>
          <w:i w:val="false"/>
          <w:color w:val="000000"/>
        </w:rPr>
        <w:t>
компанией специальной экономической зоны</w:t>
      </w:r>
    </w:p>
    <w:bookmarkEnd w:id="10"/>
    <w:bookmarkStart w:name="z63" w:id="11"/>
    <w:p>
      <w:pPr>
        <w:spacing w:after="0"/>
        <w:ind w:left="0"/>
        <w:jc w:val="both"/>
      </w:pPr>
      <w:r>
        <w:rPr>
          <w:rFonts w:ascii="Times New Roman"/>
          <w:b w:val="false"/>
          <w:i w:val="false"/>
          <w:color w:val="000000"/>
          <w:sz w:val="28"/>
        </w:rPr>
        <w:t>
      Требования, предъявляемые к лицам для управления управляющей компанией, включает наличие:</w:t>
      </w:r>
      <w:r>
        <w:br/>
      </w:r>
      <w:r>
        <w:rPr>
          <w:rFonts w:ascii="Times New Roman"/>
          <w:b w:val="false"/>
          <w:i w:val="false"/>
          <w:color w:val="000000"/>
          <w:sz w:val="28"/>
        </w:rPr>
        <w:t>
</w:t>
      </w:r>
      <w:r>
        <w:rPr>
          <w:rFonts w:ascii="Times New Roman"/>
          <w:b w:val="false"/>
          <w:i w:val="false"/>
          <w:color w:val="000000"/>
          <w:sz w:val="28"/>
        </w:rPr>
        <w:t>
      1) высшего образования. При прочих равных условиях предпочтение должно отдаваться кандидатам с дополнительным образованием в области, соответствующей основной деятельности Управляющей компании и отраслевой направленности специальной экономической зоны (степени "магистра", кандидата/доктора наук, PhD в области экономки, финансов, управления (менеджмента) и других областях соответствующих отраслевой направленности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2) опыта работы по управлению специальными экономическими зонами либо реализации определенных проектов, соответствующих отраслевой направленности специальной экономической зоны не менее 3 (трех) лет и/или иметь опыт работы в крупных компаниях, в том числе:</w:t>
      </w:r>
      <w:r>
        <w:br/>
      </w:r>
      <w:r>
        <w:rPr>
          <w:rFonts w:ascii="Times New Roman"/>
          <w:b w:val="false"/>
          <w:i w:val="false"/>
          <w:color w:val="000000"/>
          <w:sz w:val="28"/>
        </w:rPr>
        <w:t>
</w:t>
      </w:r>
      <w:r>
        <w:rPr>
          <w:rFonts w:ascii="Times New Roman"/>
          <w:b w:val="false"/>
          <w:i w:val="false"/>
          <w:color w:val="000000"/>
          <w:sz w:val="28"/>
        </w:rPr>
        <w:t>
      в листинговых/публичных компаниях, соответствующих основной деятельности компании на руководящих должностях сроком не менее 3 (трех) лет.</w:t>
      </w:r>
    </w:p>
    <w:bookmarkEnd w:id="11"/>
    <w:bookmarkStart w:name="z67" w:id="1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проведения конкурсного     </w:t>
      </w:r>
      <w:r>
        <w:br/>
      </w:r>
      <w:r>
        <w:rPr>
          <w:rFonts w:ascii="Times New Roman"/>
          <w:b w:val="false"/>
          <w:i w:val="false"/>
          <w:color w:val="000000"/>
          <w:sz w:val="28"/>
        </w:rPr>
        <w:t xml:space="preserve">
отбора лиц для управления         </w:t>
      </w:r>
      <w:r>
        <w:br/>
      </w:r>
      <w:r>
        <w:rPr>
          <w:rFonts w:ascii="Times New Roman"/>
          <w:b w:val="false"/>
          <w:i w:val="false"/>
          <w:color w:val="000000"/>
          <w:sz w:val="28"/>
        </w:rPr>
        <w:t xml:space="preserve">
управляющей компанией,         </w:t>
      </w:r>
      <w:r>
        <w:br/>
      </w:r>
      <w:r>
        <w:rPr>
          <w:rFonts w:ascii="Times New Roman"/>
          <w:b w:val="false"/>
          <w:i w:val="false"/>
          <w:color w:val="000000"/>
          <w:sz w:val="28"/>
        </w:rPr>
        <w:t xml:space="preserve">
а также требований к ним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tblGrid>
      <w:tr>
        <w:trPr>
          <w:trHeight w:val="11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фотографии</w:t>
      </w:r>
    </w:p>
    <w:bookmarkStart w:name="z68" w:id="13"/>
    <w:p>
      <w:pPr>
        <w:spacing w:after="0"/>
        <w:ind w:left="0"/>
        <w:jc w:val="left"/>
      </w:pPr>
      <w:r>
        <w:rPr>
          <w:rFonts w:ascii="Times New Roman"/>
          <w:b/>
          <w:i w:val="false"/>
          <w:color w:val="000000"/>
        </w:rPr>
        <w:t xml:space="preserve"> 
Заявка на участие в конкурсе</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(указывается фамилия, имя, при наличии – отчество кандидата)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Управляющей компании)</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853"/>
      </w:tblGrid>
      <w:tr>
        <w:trPr>
          <w:trHeight w:val="28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w:t>
            </w:r>
            <w:r>
              <w:br/>
            </w:r>
            <w:r>
              <w:rPr>
                <w:rFonts w:ascii="Times New Roman"/>
                <w:b w:val="false"/>
                <w:i w:val="false"/>
                <w:color w:val="000000"/>
                <w:sz w:val="20"/>
              </w:rPr>
              <w:t>
</w:t>
            </w:r>
            <w:r>
              <w:rPr>
                <w:rFonts w:ascii="Times New Roman"/>
                <w:b w:val="false"/>
                <w:i w:val="false"/>
                <w:color w:val="000000"/>
                <w:sz w:val="20"/>
              </w:rPr>
              <w:t>рождения</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w:t>
            </w:r>
            <w:r>
              <w:br/>
            </w:r>
            <w:r>
              <w:rPr>
                <w:rFonts w:ascii="Times New Roman"/>
                <w:b w:val="false"/>
                <w:i w:val="false"/>
                <w:color w:val="000000"/>
                <w:sz w:val="20"/>
              </w:rPr>
              <w:t>
</w:t>
            </w:r>
            <w:r>
              <w:rPr>
                <w:rFonts w:ascii="Times New Roman"/>
                <w:b w:val="false"/>
                <w:i w:val="false"/>
                <w:color w:val="000000"/>
                <w:sz w:val="20"/>
              </w:rPr>
              <w:t>удостоверяющего</w:t>
            </w:r>
            <w:r>
              <w:br/>
            </w:r>
            <w:r>
              <w:rPr>
                <w:rFonts w:ascii="Times New Roman"/>
                <w:b w:val="false"/>
                <w:i w:val="false"/>
                <w:color w:val="000000"/>
                <w:sz w:val="20"/>
              </w:rPr>
              <w:t>
</w:t>
            </w:r>
            <w:r>
              <w:rPr>
                <w:rFonts w:ascii="Times New Roman"/>
                <w:b w:val="false"/>
                <w:i w:val="false"/>
                <w:color w:val="000000"/>
                <w:sz w:val="20"/>
              </w:rPr>
              <w:t>личность</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722"/>
        <w:gridCol w:w="2300"/>
        <w:gridCol w:w="2705"/>
        <w:gridCol w:w="2616"/>
        <w:gridCol w:w="2201"/>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заведения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окончания</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r>
              <w:br/>
            </w:r>
            <w:r>
              <w:rPr>
                <w:rFonts w:ascii="Times New Roman"/>
                <w:b w:val="false"/>
                <w:i w:val="false"/>
                <w:color w:val="000000"/>
                <w:sz w:val="20"/>
              </w:rPr>
              <w:t>
</w:t>
            </w:r>
            <w:r>
              <w:rPr>
                <w:rFonts w:ascii="Times New Roman"/>
                <w:b w:val="false"/>
                <w:i w:val="false"/>
                <w:color w:val="000000"/>
                <w:sz w:val="20"/>
              </w:rPr>
              <w:t>диплома об</w:t>
            </w:r>
            <w:r>
              <w:br/>
            </w:r>
            <w:r>
              <w:rPr>
                <w:rFonts w:ascii="Times New Roman"/>
                <w:b w:val="false"/>
                <w:i w:val="false"/>
                <w:color w:val="000000"/>
                <w:sz w:val="20"/>
              </w:rPr>
              <w:t>
</w:t>
            </w:r>
            <w:r>
              <w:rPr>
                <w:rFonts w:ascii="Times New Roman"/>
                <w:b w:val="false"/>
                <w:i w:val="false"/>
                <w:color w:val="000000"/>
                <w:sz w:val="20"/>
              </w:rPr>
              <w:t>образовании,</w:t>
            </w:r>
            <w:r>
              <w:br/>
            </w:r>
            <w:r>
              <w:rPr>
                <w:rFonts w:ascii="Times New Roman"/>
                <w:b w:val="false"/>
                <w:i w:val="false"/>
                <w:color w:val="000000"/>
                <w:sz w:val="20"/>
              </w:rPr>
              <w:t>
</w:t>
            </w:r>
            <w:r>
              <w:rPr>
                <w:rFonts w:ascii="Times New Roman"/>
                <w:b w:val="false"/>
                <w:i w:val="false"/>
                <w:color w:val="000000"/>
                <w:sz w:val="20"/>
              </w:rPr>
              <w:t>квалификация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нахождения</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заведения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3736"/>
        <w:gridCol w:w="2314"/>
        <w:gridCol w:w="2762"/>
        <w:gridCol w:w="3713"/>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(при наличии)</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w:t>
            </w:r>
            <w:r>
              <w:br/>
            </w:r>
            <w:r>
              <w:rPr>
                <w:rFonts w:ascii="Times New Roman"/>
                <w:b w:val="false"/>
                <w:i w:val="false"/>
                <w:color w:val="000000"/>
                <w:sz w:val="20"/>
              </w:rPr>
              <w:t>
</w:t>
            </w:r>
            <w:r>
              <w:rPr>
                <w:rFonts w:ascii="Times New Roman"/>
                <w:b w:val="false"/>
                <w:i w:val="false"/>
                <w:color w:val="000000"/>
                <w:sz w:val="20"/>
              </w:rPr>
              <w:t>отношения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w:t>
            </w:r>
            <w:r>
              <w:br/>
            </w:r>
            <w:r>
              <w:rPr>
                <w:rFonts w:ascii="Times New Roman"/>
                <w:b w:val="false"/>
                <w:i w:val="false"/>
                <w:color w:val="000000"/>
                <w:sz w:val="20"/>
              </w:rPr>
              <w:t>
</w:t>
            </w:r>
            <w:r>
              <w:rPr>
                <w:rFonts w:ascii="Times New Roman"/>
                <w:b w:val="false"/>
                <w:i w:val="false"/>
                <w:color w:val="000000"/>
                <w:sz w:val="20"/>
              </w:rPr>
              <w:t>должность</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4404"/>
        <w:gridCol w:w="3355"/>
        <w:gridCol w:w="4803"/>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место</w:t>
            </w:r>
            <w:r>
              <w:br/>
            </w:r>
            <w:r>
              <w:rPr>
                <w:rFonts w:ascii="Times New Roman"/>
                <w:b w:val="false"/>
                <w:i w:val="false"/>
                <w:color w:val="000000"/>
                <w:sz w:val="20"/>
              </w:rPr>
              <w:t>
</w:t>
            </w:r>
            <w:r>
              <w:rPr>
                <w:rFonts w:ascii="Times New Roman"/>
                <w:b w:val="false"/>
                <w:i w:val="false"/>
                <w:color w:val="000000"/>
                <w:sz w:val="20"/>
              </w:rPr>
              <w:t>нахождения 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Уставные виды</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юридического лица</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участия в уставном</w:t>
            </w:r>
            <w:r>
              <w:br/>
            </w:r>
            <w:r>
              <w:rPr>
                <w:rFonts w:ascii="Times New Roman"/>
                <w:b w:val="false"/>
                <w:i w:val="false"/>
                <w:color w:val="000000"/>
                <w:sz w:val="20"/>
              </w:rPr>
              <w:t>
</w:t>
            </w:r>
            <w:r>
              <w:rPr>
                <w:rFonts w:ascii="Times New Roman"/>
                <w:b w:val="false"/>
                <w:i w:val="false"/>
                <w:color w:val="000000"/>
                <w:sz w:val="20"/>
              </w:rPr>
              <w:t>капитале или соотношение</w:t>
            </w:r>
            <w:r>
              <w:br/>
            </w:r>
            <w:r>
              <w:rPr>
                <w:rFonts w:ascii="Times New Roman"/>
                <w:b w:val="false"/>
                <w:i w:val="false"/>
                <w:color w:val="000000"/>
                <w:sz w:val="20"/>
              </w:rPr>
              <w:t>
</w:t>
            </w:r>
            <w:r>
              <w:rPr>
                <w:rFonts w:ascii="Times New Roman"/>
                <w:b w:val="false"/>
                <w:i w:val="false"/>
                <w:color w:val="000000"/>
                <w:sz w:val="20"/>
              </w:rPr>
              <w:t>количества акций,</w:t>
            </w:r>
            <w:r>
              <w:br/>
            </w:r>
            <w:r>
              <w:rPr>
                <w:rFonts w:ascii="Times New Roman"/>
                <w:b w:val="false"/>
                <w:i w:val="false"/>
                <w:color w:val="000000"/>
                <w:sz w:val="20"/>
              </w:rPr>
              <w:t>
</w:t>
            </w:r>
            <w:r>
              <w:rPr>
                <w:rFonts w:ascii="Times New Roman"/>
                <w:b w:val="false"/>
                <w:i w:val="false"/>
                <w:color w:val="000000"/>
                <w:sz w:val="20"/>
              </w:rPr>
              <w:t>принадлежащих кандидату,</w:t>
            </w:r>
            <w:r>
              <w:br/>
            </w:r>
            <w:r>
              <w:rPr>
                <w:rFonts w:ascii="Times New Roman"/>
                <w:b w:val="false"/>
                <w:i w:val="false"/>
                <w:color w:val="000000"/>
                <w:sz w:val="20"/>
              </w:rPr>
              <w:t>
</w:t>
            </w:r>
            <w:r>
              <w:rPr>
                <w:rFonts w:ascii="Times New Roman"/>
                <w:b w:val="false"/>
                <w:i w:val="false"/>
                <w:color w:val="000000"/>
                <w:sz w:val="20"/>
              </w:rPr>
              <w:t>к общему количеству</w:t>
            </w:r>
            <w:r>
              <w:br/>
            </w:r>
            <w:r>
              <w:rPr>
                <w:rFonts w:ascii="Times New Roman"/>
                <w:b w:val="false"/>
                <w:i w:val="false"/>
                <w:color w:val="000000"/>
                <w:sz w:val="20"/>
              </w:rPr>
              <w:t>
</w:t>
            </w:r>
            <w:r>
              <w:rPr>
                <w:rFonts w:ascii="Times New Roman"/>
                <w:b w:val="false"/>
                <w:i w:val="false"/>
                <w:color w:val="000000"/>
                <w:sz w:val="20"/>
              </w:rPr>
              <w:t>голосующих акций</w:t>
            </w:r>
            <w:r>
              <w:br/>
            </w:r>
            <w:r>
              <w:rPr>
                <w:rFonts w:ascii="Times New Roman"/>
                <w:b w:val="false"/>
                <w:i w:val="false"/>
                <w:color w:val="000000"/>
                <w:sz w:val="20"/>
              </w:rPr>
              <w:t>
</w:t>
            </w:r>
            <w:r>
              <w:rPr>
                <w:rFonts w:ascii="Times New Roman"/>
                <w:b w:val="false"/>
                <w:i w:val="false"/>
                <w:color w:val="000000"/>
                <w:sz w:val="20"/>
              </w:rPr>
              <w:t>юридического лица</w:t>
            </w:r>
            <w:r>
              <w:br/>
            </w:r>
            <w:r>
              <w:rPr>
                <w:rFonts w:ascii="Times New Roman"/>
                <w:b w:val="false"/>
                <w:i w:val="false"/>
                <w:color w:val="000000"/>
                <w:sz w:val="20"/>
              </w:rPr>
              <w:t>
</w:t>
            </w:r>
            <w:r>
              <w:rPr>
                <w:rFonts w:ascii="Times New Roman"/>
                <w:b w:val="false"/>
                <w:i w:val="false"/>
                <w:color w:val="000000"/>
                <w:sz w:val="20"/>
              </w:rPr>
              <w:t>(в процентах)</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прохождении семинаров, курсов по повышению квалификации за последние три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418"/>
        <w:gridCol w:w="3638"/>
        <w:gridCol w:w="3206"/>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w:t>
            </w:r>
            <w:r>
              <w:br/>
            </w:r>
            <w:r>
              <w:rPr>
                <w:rFonts w:ascii="Times New Roman"/>
                <w:b w:val="false"/>
                <w:i w:val="false"/>
                <w:color w:val="000000"/>
                <w:sz w:val="20"/>
              </w:rPr>
              <w:t>
</w:t>
            </w:r>
            <w:r>
              <w:rPr>
                <w:rFonts w:ascii="Times New Roman"/>
                <w:b w:val="false"/>
                <w:i w:val="false"/>
                <w:color w:val="000000"/>
                <w:sz w:val="20"/>
              </w:rPr>
              <w:t>проведения</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r>
              <w:br/>
            </w:r>
            <w:r>
              <w:rPr>
                <w:rFonts w:ascii="Times New Roman"/>
                <w:b w:val="false"/>
                <w:i w:val="false"/>
                <w:color w:val="000000"/>
                <w:sz w:val="20"/>
              </w:rPr>
              <w:t>
</w:t>
            </w:r>
            <w:r>
              <w:rPr>
                <w:rFonts w:ascii="Times New Roman"/>
                <w:b w:val="false"/>
                <w:i w:val="false"/>
                <w:color w:val="000000"/>
                <w:sz w:val="20"/>
              </w:rPr>
              <w:t>сертификата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трудовой деятельности.</w:t>
      </w:r>
      <w:r>
        <w:br/>
      </w:r>
      <w:r>
        <w:rPr>
          <w:rFonts w:ascii="Times New Roman"/>
          <w:b w:val="false"/>
          <w:i w:val="false"/>
          <w:color w:val="000000"/>
          <w:sz w:val="28"/>
        </w:rPr>
        <w:t>
      В данном пункте указываются сведения:</w:t>
      </w:r>
      <w:r>
        <w:br/>
      </w:r>
      <w:r>
        <w:rPr>
          <w:rFonts w:ascii="Times New Roman"/>
          <w:b w:val="false"/>
          <w:i w:val="false"/>
          <w:color w:val="000000"/>
          <w:sz w:val="28"/>
        </w:rPr>
        <w:t>
      о должностях, которые занимал кандидат за всю трудовую деятельность;</w:t>
      </w:r>
      <w:r>
        <w:br/>
      </w:r>
      <w:r>
        <w:rPr>
          <w:rFonts w:ascii="Times New Roman"/>
          <w:b w:val="false"/>
          <w:i w:val="false"/>
          <w:color w:val="000000"/>
          <w:sz w:val="28"/>
        </w:rPr>
        <w:t>
      о должностях, которые занимает кандидат в других организациях</w:t>
      </w:r>
      <w:r>
        <w:br/>
      </w:r>
      <w:r>
        <w:rPr>
          <w:rFonts w:ascii="Times New Roman"/>
          <w:b w:val="false"/>
          <w:i w:val="false"/>
          <w:color w:val="000000"/>
          <w:sz w:val="28"/>
        </w:rPr>
        <w:t>
на дату представления данных сведений с указанием адреса данной</w:t>
      </w:r>
      <w:r>
        <w:br/>
      </w:r>
      <w:r>
        <w:rPr>
          <w:rFonts w:ascii="Times New Roman"/>
          <w:b w:val="false"/>
          <w:i w:val="false"/>
          <w:color w:val="000000"/>
          <w:sz w:val="28"/>
        </w:rPr>
        <w:t>
организации и контактного телефона.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3114"/>
        <w:gridCol w:w="1496"/>
        <w:gridCol w:w="2057"/>
        <w:gridCol w:w="3011"/>
        <w:gridCol w:w="2604"/>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w:t>
            </w:r>
            <w:r>
              <w:br/>
            </w:r>
            <w:r>
              <w:rPr>
                <w:rFonts w:ascii="Times New Roman"/>
                <w:b w:val="false"/>
                <w:i w:val="false"/>
                <w:color w:val="000000"/>
                <w:sz w:val="20"/>
              </w:rPr>
              <w:t>
</w:t>
            </w: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дисциплинарных</w:t>
            </w:r>
            <w:r>
              <w:br/>
            </w:r>
            <w:r>
              <w:rPr>
                <w:rFonts w:ascii="Times New Roman"/>
                <w:b w:val="false"/>
                <w:i w:val="false"/>
                <w:color w:val="000000"/>
                <w:sz w:val="20"/>
              </w:rPr>
              <w:t>
</w:t>
            </w:r>
            <w:r>
              <w:rPr>
                <w:rFonts w:ascii="Times New Roman"/>
                <w:b w:val="false"/>
                <w:i w:val="false"/>
                <w:color w:val="000000"/>
                <w:sz w:val="20"/>
              </w:rPr>
              <w:t>взысканий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увольнения,</w:t>
            </w:r>
            <w:r>
              <w:br/>
            </w:r>
            <w:r>
              <w:rPr>
                <w:rFonts w:ascii="Times New Roman"/>
                <w:b w:val="false"/>
                <w:i w:val="false"/>
                <w:color w:val="000000"/>
                <w:sz w:val="20"/>
              </w:rPr>
              <w:t>
</w:t>
            </w:r>
            <w:r>
              <w:rPr>
                <w:rFonts w:ascii="Times New Roman"/>
                <w:b w:val="false"/>
                <w:i w:val="false"/>
                <w:color w:val="000000"/>
                <w:sz w:val="20"/>
              </w:rPr>
              <w:t>освобождения</w:t>
            </w:r>
            <w:r>
              <w:br/>
            </w:r>
            <w:r>
              <w:rPr>
                <w:rFonts w:ascii="Times New Roman"/>
                <w:b w:val="false"/>
                <w:i w:val="false"/>
                <w:color w:val="000000"/>
                <w:sz w:val="20"/>
              </w:rPr>
              <w:t>
</w:t>
            </w:r>
            <w:r>
              <w:rPr>
                <w:rFonts w:ascii="Times New Roman"/>
                <w:b w:val="false"/>
                <w:i w:val="false"/>
                <w:color w:val="000000"/>
                <w:sz w:val="20"/>
              </w:rPr>
              <w:t>от должности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Имеющиеся публикации, научные разработки и другие достижения: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в случае наличия указать дату, в каких изданиях)</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Сведения о том, являлся ли кандидат ранее руководящим</w:t>
      </w:r>
      <w:r>
        <w:br/>
      </w:r>
      <w:r>
        <w:rPr>
          <w:rFonts w:ascii="Times New Roman"/>
          <w:b w:val="false"/>
          <w:i w:val="false"/>
          <w:color w:val="000000"/>
          <w:sz w:val="28"/>
        </w:rPr>
        <w:t>
работником организации, признанной банкротом либо в отношении</w:t>
      </w:r>
      <w:r>
        <w:br/>
      </w:r>
      <w:r>
        <w:rPr>
          <w:rFonts w:ascii="Times New Roman"/>
          <w:b w:val="false"/>
          <w:i w:val="false"/>
          <w:color w:val="000000"/>
          <w:sz w:val="28"/>
        </w:rPr>
        <w:t>
организации принято решение о лишении лицензии, принудительной</w:t>
      </w:r>
      <w:r>
        <w:br/>
      </w:r>
      <w:r>
        <w:rPr>
          <w:rFonts w:ascii="Times New Roman"/>
          <w:b w:val="false"/>
          <w:i w:val="false"/>
          <w:color w:val="000000"/>
          <w:sz w:val="28"/>
        </w:rPr>
        <w:t>
ликвидации, консервации, принудительном выкупе акций: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указать наименование организации, должность, период работы)</w:t>
      </w:r>
    </w:p>
    <w:p>
      <w:pPr>
        <w:spacing w:after="0"/>
        <w:ind w:left="0"/>
        <w:jc w:val="both"/>
      </w:pPr>
      <w:r>
        <w:rPr>
          <w:rFonts w:ascii="Times New Roman"/>
          <w:b w:val="false"/>
          <w:i w:val="false"/>
          <w:color w:val="000000"/>
          <w:sz w:val="28"/>
        </w:rPr>
        <w:t>      9. Наличие данных об отстранении органами надзора от выполнения</w:t>
      </w:r>
      <w:r>
        <w:br/>
      </w:r>
      <w:r>
        <w:rPr>
          <w:rFonts w:ascii="Times New Roman"/>
          <w:b w:val="false"/>
          <w:i w:val="false"/>
          <w:color w:val="000000"/>
          <w:sz w:val="28"/>
        </w:rPr>
        <w:t>
служебных обязанностей за нарушение законодательства: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указать дату, основания применения и наименование органа надзора)</w:t>
      </w:r>
    </w:p>
    <w:p>
      <w:pPr>
        <w:spacing w:after="0"/>
        <w:ind w:left="0"/>
        <w:jc w:val="both"/>
      </w:pPr>
      <w:r>
        <w:rPr>
          <w:rFonts w:ascii="Times New Roman"/>
          <w:b w:val="false"/>
          <w:i w:val="false"/>
          <w:color w:val="000000"/>
          <w:sz w:val="28"/>
        </w:rPr>
        <w:t>      10. Сведения о том, является ли кандидат аффилированным лицом</w:t>
      </w:r>
      <w:r>
        <w:br/>
      </w:r>
      <w:r>
        <w:rPr>
          <w:rFonts w:ascii="Times New Roman"/>
          <w:b w:val="false"/>
          <w:i w:val="false"/>
          <w:color w:val="000000"/>
          <w:sz w:val="28"/>
        </w:rPr>
        <w:t>
по отношению к действующим участникам специальной экономической зоны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(да/нет)</w:t>
      </w:r>
    </w:p>
    <w:p>
      <w:pPr>
        <w:spacing w:after="0"/>
        <w:ind w:left="0"/>
        <w:jc w:val="both"/>
      </w:pPr>
      <w:r>
        <w:rPr>
          <w:rFonts w:ascii="Times New Roman"/>
          <w:b w:val="false"/>
          <w:i w:val="false"/>
          <w:color w:val="000000"/>
          <w:sz w:val="28"/>
        </w:rPr>
        <w:t>Подтверждаю, что настоящая информация была проверена мною и является</w:t>
      </w:r>
      <w:r>
        <w:br/>
      </w:r>
      <w:r>
        <w:rPr>
          <w:rFonts w:ascii="Times New Roman"/>
          <w:b w:val="false"/>
          <w:i w:val="false"/>
          <w:color w:val="000000"/>
          <w:sz w:val="28"/>
        </w:rPr>
        <w:t>
достоверной и полной.</w:t>
      </w:r>
    </w:p>
    <w:p>
      <w:pPr>
        <w:spacing w:after="0"/>
        <w:ind w:left="0"/>
        <w:jc w:val="both"/>
      </w:pPr>
      <w:r>
        <w:rPr>
          <w:rFonts w:ascii="Times New Roman"/>
          <w:b w:val="false"/>
          <w:i w:val="false"/>
          <w:color w:val="000000"/>
          <w:sz w:val="28"/>
        </w:rPr>
        <w:t>      Фамилия, имя, отчество (при наличии) _________________________________</w:t>
      </w:r>
      <w:r>
        <w:br/>
      </w:r>
      <w:r>
        <w:rPr>
          <w:rFonts w:ascii="Times New Roman"/>
          <w:b w:val="false"/>
          <w:i w:val="false"/>
          <w:color w:val="000000"/>
          <w:sz w:val="28"/>
        </w:rPr>
        <w:t>
      (печатными буквами)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участником конкурса:</w:t>
            </w:r>
            <w:r>
              <w:br/>
            </w:r>
            <w:r>
              <w:rPr>
                <w:rFonts w:ascii="Times New Roman"/>
                <w:b w:val="false"/>
                <w:i w:val="false"/>
                <w:color w:val="000000"/>
                <w:sz w:val="20"/>
              </w:rPr>
              <w:t>
Подтверждаю, что я, _____________________________________________</w:t>
            </w:r>
            <w:r>
              <w:br/>
            </w:r>
            <w:r>
              <w:rPr>
                <w:rFonts w:ascii="Times New Roman"/>
                <w:b w:val="false"/>
                <w:i w:val="false"/>
                <w:color w:val="000000"/>
                <w:sz w:val="20"/>
              </w:rPr>
              <w:t>
                     (фамилия, имя, при наличии – отчество)</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xml:space="preserve">
соответствую требованиям, установленные настоящими Правилами </w:t>
            </w:r>
          </w:p>
        </w:tc>
      </w:tr>
    </w:tbl>
    <w:p>
      <w:pPr>
        <w:spacing w:after="0"/>
        <w:ind w:left="0"/>
        <w:jc w:val="both"/>
      </w:pPr>
      <w:r>
        <w:rPr>
          <w:rFonts w:ascii="Times New Roman"/>
          <w:b w:val="false"/>
          <w:i w:val="false"/>
          <w:color w:val="000000"/>
          <w:sz w:val="28"/>
        </w:rPr>
        <w:t>      Дата _____________________________ Подпись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