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85d5" w14:textId="6758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об изменении срока уплаты налога на добавленную стоимость на импортируемые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1658.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20 марта 2015 года № 197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заявления об изменении срока уплаты налога на добавленную стоимость на импортируемые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drawing>
          <wp:inline distT="0" distB="0" distL="0" distR="0">
            <wp:extent cx="8661400" cy="168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168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      </w:t>
      </w:r>
      <w:r>
        <w:drawing>
          <wp:inline distT="0" distB="0" distL="0" distR="0">
            <wp:extent cx="87757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543800" cy="130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30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