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b67" w14:textId="8fdb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1400.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20 февраля 2015 года № 18-02/119.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1400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положенности средств пожаротушения в местах проведения</w:t>
      </w:r>
      <w:r>
        <w:br/>
      </w:r>
      <w:r>
        <w:rPr>
          <w:rFonts w:ascii="Times New Roman"/>
          <w:b/>
          <w:i w:val="false"/>
          <w:color w:val="000000"/>
        </w:rPr>
        <w:t>
лесопользователями оздоровительных, рекреационных,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историко-культурных, туристских, спортивных и других</w:t>
      </w:r>
      <w:r>
        <w:br/>
      </w:r>
      <w:r>
        <w:rPr>
          <w:rFonts w:ascii="Times New Roman"/>
          <w:b/>
          <w:i w:val="false"/>
          <w:color w:val="000000"/>
        </w:rPr>
        <w:t>
мероприятий на территории государственного лесного фонда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099"/>
        <w:gridCol w:w="1239"/>
        <w:gridCol w:w="1268"/>
        <w:gridCol w:w="1295"/>
        <w:gridCol w:w="2467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пожаротушения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посещаемой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турбазах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расчета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отдыхающих)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Мотопомпы пожарные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литров/минуту,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Лопаты,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Топоры,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Хлопушки,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поперечные или бензопилы,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Ранцевые лесные огнетушители-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опрыскиватели,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Ведра или резиновые емкости для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12 литров, штук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