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cedc" w14:textId="b6bc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радиотехническим объектам"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ноября 2011 года № 1341.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национальной экономики Республики Казахстан от 28 февраля 2015 года № 173.</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радиотехническим объектам". </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ноября 2011 года № 1341</w:t>
      </w:r>
    </w:p>
    <w:bookmarkEnd w:id="1"/>
    <w:bookmarkStart w:name="z5"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w:t>
      </w:r>
      <w:r>
        <w:br/>
      </w:r>
      <w:r>
        <w:rPr>
          <w:rFonts w:ascii="Times New Roman"/>
          <w:b/>
          <w:i w:val="false"/>
          <w:color w:val="000000"/>
        </w:rPr>
        <w:t>
к радиотехническим объектам"</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Санитарные правила "Санитарно-эпидемиологические требования к радиотехническим объектам" (далее - Санитарные правила) определяют санитарно-эпидемиологические требования к содержанию и эксплуатации радиотехнических объектов, их размещению, условиям работы, и предназначены для юридических и физических лиц, деятельность которых связана с размещением и эксплуатацией радиотехнических объектов.</w:t>
      </w:r>
      <w:r>
        <w:br/>
      </w:r>
      <w:r>
        <w:rPr>
          <w:rFonts w:ascii="Times New Roman"/>
          <w:b w:val="false"/>
          <w:i w:val="false"/>
          <w:color w:val="000000"/>
          <w:sz w:val="28"/>
        </w:rPr>
        <w:t>
</w:t>
      </w:r>
      <w:r>
        <w:rPr>
          <w:rFonts w:ascii="Times New Roman"/>
          <w:b w:val="false"/>
          <w:i w:val="false"/>
          <w:color w:val="000000"/>
          <w:sz w:val="28"/>
        </w:rPr>
        <w:t>
      2. Санитарно-эпидемиологические требования направлены на предотвращение вредного воздействия на людей электромагнитных излучений, создаваемых радиотехническими объектами и радиоэлектронными средствами.</w:t>
      </w:r>
      <w:r>
        <w:br/>
      </w:r>
      <w:r>
        <w:rPr>
          <w:rFonts w:ascii="Times New Roman"/>
          <w:b w:val="false"/>
          <w:i w:val="false"/>
          <w:color w:val="000000"/>
          <w:sz w:val="28"/>
        </w:rPr>
        <w:t>
</w:t>
      </w:r>
      <w:r>
        <w:rPr>
          <w:rFonts w:ascii="Times New Roman"/>
          <w:b w:val="false"/>
          <w:i w:val="false"/>
          <w:color w:val="000000"/>
          <w:sz w:val="28"/>
        </w:rPr>
        <w:t>
      3. Требования настоящих Санитарных правил не распространяются на средства сухопутной подвижной радиосвязи, средства морской, речной, воздушной и другой транспортной подвижной радиосвязи.</w:t>
      </w:r>
      <w:r>
        <w:br/>
      </w:r>
      <w:r>
        <w:rPr>
          <w:rFonts w:ascii="Times New Roman"/>
          <w:b w:val="false"/>
          <w:i w:val="false"/>
          <w:color w:val="000000"/>
          <w:sz w:val="28"/>
        </w:rPr>
        <w:t>
</w:t>
      </w:r>
      <w:r>
        <w:rPr>
          <w:rFonts w:ascii="Times New Roman"/>
          <w:b w:val="false"/>
          <w:i w:val="false"/>
          <w:color w:val="000000"/>
          <w:sz w:val="28"/>
        </w:rPr>
        <w:t>
      4. В настоящих Санитарных правилах использованы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антенно-фидерный тракт (далее - АФТ) - промежуточные устройства (кабели, волноводы, соединения) для передачи радиосигнала от передатчика (приемника) к излучающей (приемной) части антенны;</w:t>
      </w:r>
      <w:r>
        <w:br/>
      </w:r>
      <w:r>
        <w:rPr>
          <w:rFonts w:ascii="Times New Roman"/>
          <w:b w:val="false"/>
          <w:i w:val="false"/>
          <w:color w:val="000000"/>
          <w:sz w:val="28"/>
        </w:rPr>
        <w:t>
</w:t>
      </w:r>
      <w:r>
        <w:rPr>
          <w:rFonts w:ascii="Times New Roman"/>
          <w:b w:val="false"/>
          <w:i w:val="false"/>
          <w:color w:val="000000"/>
          <w:sz w:val="28"/>
        </w:rPr>
        <w:t>
      2) биологически-опасная зона (далее - БОЗ) - зона, образующаяся вокруг направления луча, на границе которой уровни электромагнитной энергии равны предельно допустимому уровню (далее - ПДУ);</w:t>
      </w:r>
      <w:r>
        <w:br/>
      </w:r>
      <w:r>
        <w:rPr>
          <w:rFonts w:ascii="Times New Roman"/>
          <w:b w:val="false"/>
          <w:i w:val="false"/>
          <w:color w:val="000000"/>
          <w:sz w:val="28"/>
        </w:rPr>
        <w:t>
</w:t>
      </w:r>
      <w:r>
        <w:rPr>
          <w:rFonts w:ascii="Times New Roman"/>
          <w:b w:val="false"/>
          <w:i w:val="false"/>
          <w:color w:val="000000"/>
          <w:sz w:val="28"/>
        </w:rPr>
        <w:t>
      3) суммарное электромагнитное излучение - это совокупность излучений электромагнитных волн, энергии от всех передающих антенн радиоэлектронных средств, размещенных на радиотехнических объектах;</w:t>
      </w:r>
      <w:r>
        <w:br/>
      </w:r>
      <w:r>
        <w:rPr>
          <w:rFonts w:ascii="Times New Roman"/>
          <w:b w:val="false"/>
          <w:i w:val="false"/>
          <w:color w:val="000000"/>
          <w:sz w:val="28"/>
        </w:rPr>
        <w:t>
</w:t>
      </w:r>
      <w:r>
        <w:rPr>
          <w:rFonts w:ascii="Times New Roman"/>
          <w:b w:val="false"/>
          <w:i w:val="false"/>
          <w:color w:val="000000"/>
          <w:sz w:val="28"/>
        </w:rPr>
        <w:t>
      4) вторичное излучение - излучение электромагнитной энергии различными проводящими предметами и конструкциями, находящимися в зоне действия электромагнитных полей;</w:t>
      </w:r>
      <w:r>
        <w:br/>
      </w:r>
      <w:r>
        <w:rPr>
          <w:rFonts w:ascii="Times New Roman"/>
          <w:b w:val="false"/>
          <w:i w:val="false"/>
          <w:color w:val="000000"/>
          <w:sz w:val="28"/>
        </w:rPr>
        <w:t>
</w:t>
      </w:r>
      <w:r>
        <w:rPr>
          <w:rFonts w:ascii="Times New Roman"/>
          <w:b w:val="false"/>
          <w:i w:val="false"/>
          <w:color w:val="000000"/>
          <w:sz w:val="28"/>
        </w:rPr>
        <w:t>
      5) зона ограничения застройки для радиотехнических объектов (далее - ЗОЗ) - территория, где на высоте свыше 2 метров от поверхности земли превышается ПДУ. Внешняя граница ЗОЗ определяется по максимальной высоте жилых зданий перспективной застройки, на уровне верхнего этажа которых уровни электромагнитного поля не превышают ПДУ;</w:t>
      </w:r>
      <w:r>
        <w:br/>
      </w:r>
      <w:r>
        <w:rPr>
          <w:rFonts w:ascii="Times New Roman"/>
          <w:b w:val="false"/>
          <w:i w:val="false"/>
          <w:color w:val="000000"/>
          <w:sz w:val="28"/>
        </w:rPr>
        <w:t>
</w:t>
      </w:r>
      <w:r>
        <w:rPr>
          <w:rFonts w:ascii="Times New Roman"/>
          <w:b w:val="false"/>
          <w:i w:val="false"/>
          <w:color w:val="000000"/>
          <w:sz w:val="28"/>
        </w:rPr>
        <w:t>
      6) радиотехнический объект (далее - РТО) - объект, излучающий в окружающую среду электромагнитные колебания в диапазоне радиочастот от 30 кГц до 300 ГГц;</w:t>
      </w:r>
      <w:r>
        <w:br/>
      </w:r>
      <w:r>
        <w:rPr>
          <w:rFonts w:ascii="Times New Roman"/>
          <w:b w:val="false"/>
          <w:i w:val="false"/>
          <w:color w:val="000000"/>
          <w:sz w:val="28"/>
        </w:rPr>
        <w:t>
</w:t>
      </w:r>
      <w:r>
        <w:rPr>
          <w:rFonts w:ascii="Times New Roman"/>
          <w:b w:val="false"/>
          <w:i w:val="false"/>
          <w:color w:val="000000"/>
          <w:sz w:val="28"/>
        </w:rPr>
        <w:t>
      7) радиоэлектронные средства (далее - РЭС)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r>
        <w:br/>
      </w:r>
      <w:r>
        <w:rPr>
          <w:rFonts w:ascii="Times New Roman"/>
          <w:b w:val="false"/>
          <w:i w:val="false"/>
          <w:color w:val="000000"/>
          <w:sz w:val="28"/>
        </w:rPr>
        <w:t>
</w:t>
      </w:r>
      <w:r>
        <w:rPr>
          <w:rFonts w:ascii="Times New Roman"/>
          <w:b w:val="false"/>
          <w:i w:val="false"/>
          <w:color w:val="000000"/>
          <w:sz w:val="28"/>
        </w:rPr>
        <w:t>
      8) санитарно-защитная зона (далее - СЗЗ)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r>
        <w:br/>
      </w:r>
      <w:r>
        <w:rPr>
          <w:rFonts w:ascii="Times New Roman"/>
          <w:b w:val="false"/>
          <w:i w:val="false"/>
          <w:color w:val="000000"/>
          <w:sz w:val="28"/>
        </w:rPr>
        <w:t>
</w:t>
      </w:r>
      <w:r>
        <w:rPr>
          <w:rFonts w:ascii="Times New Roman"/>
          <w:b w:val="false"/>
          <w:i w:val="false"/>
          <w:color w:val="000000"/>
          <w:sz w:val="28"/>
        </w:rPr>
        <w:t>
      9) секторные (панельные) антенны - антенны, предназначенные для излучения радиоволн в определенном секторе;</w:t>
      </w:r>
      <w:r>
        <w:br/>
      </w:r>
      <w:r>
        <w:rPr>
          <w:rFonts w:ascii="Times New Roman"/>
          <w:b w:val="false"/>
          <w:i w:val="false"/>
          <w:color w:val="000000"/>
          <w:sz w:val="28"/>
        </w:rPr>
        <w:t>
</w:t>
      </w:r>
      <w:r>
        <w:rPr>
          <w:rFonts w:ascii="Times New Roman"/>
          <w:b w:val="false"/>
          <w:i w:val="false"/>
          <w:color w:val="000000"/>
          <w:sz w:val="28"/>
        </w:rPr>
        <w:t>
      10)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r>
        <w:br/>
      </w:r>
      <w:r>
        <w:rPr>
          <w:rFonts w:ascii="Times New Roman"/>
          <w:b w:val="false"/>
          <w:i w:val="false"/>
          <w:color w:val="000000"/>
          <w:sz w:val="28"/>
        </w:rPr>
        <w:t>
</w:t>
      </w:r>
      <w:r>
        <w:rPr>
          <w:rFonts w:ascii="Times New Roman"/>
          <w:b w:val="false"/>
          <w:i w:val="false"/>
          <w:color w:val="000000"/>
          <w:sz w:val="28"/>
        </w:rPr>
        <w:t>
      11) суммарная мощность передающей антенны - мощность электромагнитной энергии, подводимой к одной передающей антенне РЭС независимо от количества и паспортных мощностей передатчиков, установленных на данном объекте;</w:t>
      </w:r>
      <w:r>
        <w:br/>
      </w:r>
      <w:r>
        <w:rPr>
          <w:rFonts w:ascii="Times New Roman"/>
          <w:b w:val="false"/>
          <w:i w:val="false"/>
          <w:color w:val="000000"/>
          <w:sz w:val="28"/>
        </w:rPr>
        <w:t>
</w:t>
      </w:r>
      <w:r>
        <w:rPr>
          <w:rFonts w:ascii="Times New Roman"/>
          <w:b w:val="false"/>
          <w:i w:val="false"/>
          <w:color w:val="000000"/>
          <w:sz w:val="28"/>
        </w:rPr>
        <w:t>
      12) максимальная рабочая мощность передатчика - технически достижимая при данном оборудовании или ограниченная в силу каких-либо причин максимально развиваемая мощность передатчика без учета потерь в АФТ;</w:t>
      </w:r>
      <w:r>
        <w:br/>
      </w:r>
      <w:r>
        <w:rPr>
          <w:rFonts w:ascii="Times New Roman"/>
          <w:b w:val="false"/>
          <w:i w:val="false"/>
          <w:color w:val="000000"/>
          <w:sz w:val="28"/>
        </w:rPr>
        <w:t>
</w:t>
      </w:r>
      <w:r>
        <w:rPr>
          <w:rFonts w:ascii="Times New Roman"/>
          <w:b w:val="false"/>
          <w:i w:val="false"/>
          <w:color w:val="000000"/>
          <w:sz w:val="28"/>
        </w:rPr>
        <w:t>
      13) паспортная мощность передатчика - максимальная возможная мощность, указанная в технической документации на передающее оборудование;</w:t>
      </w:r>
      <w:r>
        <w:br/>
      </w:r>
      <w:r>
        <w:rPr>
          <w:rFonts w:ascii="Times New Roman"/>
          <w:b w:val="false"/>
          <w:i w:val="false"/>
          <w:color w:val="000000"/>
          <w:sz w:val="28"/>
        </w:rPr>
        <w:t>
</w:t>
      </w:r>
      <w:r>
        <w:rPr>
          <w:rFonts w:ascii="Times New Roman"/>
          <w:b w:val="false"/>
          <w:i w:val="false"/>
          <w:color w:val="000000"/>
          <w:sz w:val="28"/>
        </w:rPr>
        <w:t>
      14) электромагнитное поле (далее - ЭМП), поле возникающее вблизи источника электромагнитных колебаний и по пути их распространения;</w:t>
      </w:r>
      <w:r>
        <w:br/>
      </w:r>
      <w:r>
        <w:rPr>
          <w:rFonts w:ascii="Times New Roman"/>
          <w:b w:val="false"/>
          <w:i w:val="false"/>
          <w:color w:val="000000"/>
          <w:sz w:val="28"/>
        </w:rPr>
        <w:t>
</w:t>
      </w:r>
      <w:r>
        <w:rPr>
          <w:rFonts w:ascii="Times New Roman"/>
          <w:b w:val="false"/>
          <w:i w:val="false"/>
          <w:color w:val="000000"/>
          <w:sz w:val="28"/>
        </w:rPr>
        <w:t>
      15) электромагнитное излучение (далее - ЭМИ) - электромагнитные колебания, создаваемые естественным или искусственным источником;</w:t>
      </w:r>
      <w:r>
        <w:br/>
      </w:r>
      <w:r>
        <w:rPr>
          <w:rFonts w:ascii="Times New Roman"/>
          <w:b w:val="false"/>
          <w:i w:val="false"/>
          <w:color w:val="000000"/>
          <w:sz w:val="28"/>
        </w:rPr>
        <w:t>
</w:t>
      </w:r>
      <w:r>
        <w:rPr>
          <w:rFonts w:ascii="Times New Roman"/>
          <w:b w:val="false"/>
          <w:i w:val="false"/>
          <w:color w:val="000000"/>
          <w:sz w:val="28"/>
        </w:rPr>
        <w:t>
      16) энергетическая нагрузка (доза, экспозиция) - суммарная интенсивность электромагнитной энергии за время ее воздействия (смену).</w:t>
      </w:r>
    </w:p>
    <w:bookmarkEnd w:id="4"/>
    <w:bookmarkStart w:name="z27" w:id="5"/>
    <w:p>
      <w:pPr>
        <w:spacing w:after="0"/>
        <w:ind w:left="0"/>
        <w:jc w:val="left"/>
      </w:pPr>
      <w:r>
        <w:rPr>
          <w:rFonts w:ascii="Times New Roman"/>
          <w:b/>
          <w:i w:val="false"/>
          <w:color w:val="000000"/>
        </w:rPr>
        <w:t xml:space="preserve"> 
2. Санитарно-эпидемиологические требования к размещению</w:t>
      </w:r>
      <w:r>
        <w:br/>
      </w:r>
      <w:r>
        <w:rPr>
          <w:rFonts w:ascii="Times New Roman"/>
          <w:b/>
          <w:i w:val="false"/>
          <w:color w:val="000000"/>
        </w:rPr>
        <w:t>
радиотехнических объектов, радиоэлектронных средств</w:t>
      </w:r>
    </w:p>
    <w:bookmarkEnd w:id="5"/>
    <w:bookmarkStart w:name="z28" w:id="6"/>
    <w:p>
      <w:pPr>
        <w:spacing w:after="0"/>
        <w:ind w:left="0"/>
        <w:jc w:val="both"/>
      </w:pPr>
      <w:r>
        <w:rPr>
          <w:rFonts w:ascii="Times New Roman"/>
          <w:b w:val="false"/>
          <w:i w:val="false"/>
          <w:color w:val="000000"/>
          <w:sz w:val="28"/>
        </w:rPr>
        <w:t>
      5. Для размещения РТО выдается санитарно-эпидемиологическое заключение на основании проведенной </w:t>
      </w:r>
      <w:r>
        <w:rPr>
          <w:rFonts w:ascii="Times New Roman"/>
          <w:b w:val="false"/>
          <w:i w:val="false"/>
          <w:color w:val="000000"/>
          <w:sz w:val="28"/>
        </w:rPr>
        <w:t>санитарно-эпидемиологической экспертизы</w:t>
      </w:r>
      <w:r>
        <w:rPr>
          <w:rFonts w:ascii="Times New Roman"/>
          <w:b w:val="false"/>
          <w:i w:val="false"/>
          <w:color w:val="000000"/>
          <w:sz w:val="28"/>
        </w:rPr>
        <w:t>. Для получения санитарно-эпидемиологического заключения предоставляются перечень необходимых сведений и документов в соответствии с требованиями уполномоченного органа в области здравоохранения.</w:t>
      </w:r>
      <w:r>
        <w:br/>
      </w:r>
      <w:r>
        <w:rPr>
          <w:rFonts w:ascii="Times New Roman"/>
          <w:b w:val="false"/>
          <w:i w:val="false"/>
          <w:color w:val="000000"/>
          <w:sz w:val="28"/>
        </w:rPr>
        <w:t>
</w:t>
      </w:r>
      <w:r>
        <w:rPr>
          <w:rFonts w:ascii="Times New Roman"/>
          <w:b w:val="false"/>
          <w:i w:val="false"/>
          <w:color w:val="000000"/>
          <w:sz w:val="28"/>
        </w:rPr>
        <w:t>
      Требования настоящего пункта распространяются на размещение вновь возведенного, самостоятельного радиотехнического объекта с мачтовыми или башенными позициями. При установке единичных антенн (земные станции спутниковой связи, радиорелейные линии), а также антенны РЭС операторов сотовой связи, размещенных на крышах жилых и общественных зданий, требования настоящего пункта не распространяются.</w:t>
      </w:r>
      <w:r>
        <w:br/>
      </w:r>
      <w:r>
        <w:rPr>
          <w:rFonts w:ascii="Times New Roman"/>
          <w:b w:val="false"/>
          <w:i w:val="false"/>
          <w:color w:val="000000"/>
          <w:sz w:val="28"/>
        </w:rPr>
        <w:t>
</w:t>
      </w:r>
      <w:r>
        <w:rPr>
          <w:rFonts w:ascii="Times New Roman"/>
          <w:b w:val="false"/>
          <w:i w:val="false"/>
          <w:color w:val="000000"/>
          <w:sz w:val="28"/>
        </w:rPr>
        <w:t>
      6. Технические характеристики антенн по размещению радиотехнического оборудования приводятся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7. Расчеты границ СЗЗ, ЗОЗ, размеры БОЗ при установке единичных антенн и антенн направленного излучения, представляются юридическим или физическим лицом, в чьем ведении находится РЭС.</w:t>
      </w:r>
      <w:r>
        <w:br/>
      </w:r>
      <w:r>
        <w:rPr>
          <w:rFonts w:ascii="Times New Roman"/>
          <w:b w:val="false"/>
          <w:i w:val="false"/>
          <w:color w:val="000000"/>
          <w:sz w:val="28"/>
        </w:rPr>
        <w:t>
</w:t>
      </w:r>
      <w:r>
        <w:rPr>
          <w:rFonts w:ascii="Times New Roman"/>
          <w:b w:val="false"/>
          <w:i w:val="false"/>
          <w:color w:val="000000"/>
          <w:sz w:val="28"/>
        </w:rPr>
        <w:t>
      8. При расположении на объекте, не являющемся объектом радиотехнического профиля, антенн нескольких РЭС кругового и секторного излучения расчеты СЗЗ и ЗОЗ проводятся с учетом суммарного электромагнитного излучения всех РЭС, находящихся на объекте в данное время. При этом владельцы РЭС обеспечивают взаимный обмен данными, необходимыми для проведения таких расчетов.</w:t>
      </w:r>
      <w:r>
        <w:br/>
      </w:r>
      <w:r>
        <w:rPr>
          <w:rFonts w:ascii="Times New Roman"/>
          <w:b w:val="false"/>
          <w:i w:val="false"/>
          <w:color w:val="000000"/>
          <w:sz w:val="28"/>
        </w:rPr>
        <w:t>
</w:t>
      </w:r>
      <w:r>
        <w:rPr>
          <w:rFonts w:ascii="Times New Roman"/>
          <w:b w:val="false"/>
          <w:i w:val="false"/>
          <w:color w:val="000000"/>
          <w:sz w:val="28"/>
        </w:rPr>
        <w:t>
      9. Размещение передающих антенн РЭС с суммарной мощностью передатчиков, подводимой к одной антенне, свыше 1000 Ватт (далее - Вт) кругового и секторного излучения в горизонтальной плоскости (при направлении главного лепестка в соответствующую сторону) проводится на радиомачтах на расстояниях до территории жилой застройки, детских, учебных и лечебно-профилактических организаций, определенных по результатам расчетов размеров СЗЗ и ЗОЗ, но не менее:</w:t>
      </w:r>
      <w:r>
        <w:br/>
      </w:r>
      <w:r>
        <w:rPr>
          <w:rFonts w:ascii="Times New Roman"/>
          <w:b w:val="false"/>
          <w:i w:val="false"/>
          <w:color w:val="000000"/>
          <w:sz w:val="28"/>
        </w:rPr>
        <w:t>
</w:t>
      </w:r>
      <w:r>
        <w:rPr>
          <w:rFonts w:ascii="Times New Roman"/>
          <w:b w:val="false"/>
          <w:i w:val="false"/>
          <w:color w:val="000000"/>
          <w:sz w:val="28"/>
        </w:rPr>
        <w:t>
      1) при высоте установки антенн более 100 метров от земли - 100 метров;</w:t>
      </w:r>
      <w:r>
        <w:br/>
      </w:r>
      <w:r>
        <w:rPr>
          <w:rFonts w:ascii="Times New Roman"/>
          <w:b w:val="false"/>
          <w:i w:val="false"/>
          <w:color w:val="000000"/>
          <w:sz w:val="28"/>
        </w:rPr>
        <w:t>
</w:t>
      </w:r>
      <w:r>
        <w:rPr>
          <w:rFonts w:ascii="Times New Roman"/>
          <w:b w:val="false"/>
          <w:i w:val="false"/>
          <w:color w:val="000000"/>
          <w:sz w:val="28"/>
        </w:rPr>
        <w:t>
      2) при высоте установки антенн от 50 до 100 метров - 200 метров;</w:t>
      </w:r>
      <w:r>
        <w:br/>
      </w:r>
      <w:r>
        <w:rPr>
          <w:rFonts w:ascii="Times New Roman"/>
          <w:b w:val="false"/>
          <w:i w:val="false"/>
          <w:color w:val="000000"/>
          <w:sz w:val="28"/>
        </w:rPr>
        <w:t>
</w:t>
      </w:r>
      <w:r>
        <w:rPr>
          <w:rFonts w:ascii="Times New Roman"/>
          <w:b w:val="false"/>
          <w:i w:val="false"/>
          <w:color w:val="000000"/>
          <w:sz w:val="28"/>
        </w:rPr>
        <w:t>
      3) при высоте установки антенн менее 50 метров - 300 метров.</w:t>
      </w:r>
      <w:r>
        <w:br/>
      </w:r>
      <w:r>
        <w:rPr>
          <w:rFonts w:ascii="Times New Roman"/>
          <w:b w:val="false"/>
          <w:i w:val="false"/>
          <w:color w:val="000000"/>
          <w:sz w:val="28"/>
        </w:rPr>
        <w:t>
</w:t>
      </w:r>
      <w:r>
        <w:rPr>
          <w:rFonts w:ascii="Times New Roman"/>
          <w:b w:val="false"/>
          <w:i w:val="false"/>
          <w:color w:val="000000"/>
          <w:sz w:val="28"/>
        </w:rPr>
        <w:t xml:space="preserve">
      10. Не допускается размещение передающих антенн РЭС диапазона свыше 30 МегаГерц (далее - МГц) суммарной мощностью 100 Вт и более на крышах жилых, общественных и административных зданий. </w:t>
      </w:r>
      <w:r>
        <w:br/>
      </w:r>
      <w:r>
        <w:rPr>
          <w:rFonts w:ascii="Times New Roman"/>
          <w:b w:val="false"/>
          <w:i w:val="false"/>
          <w:color w:val="000000"/>
          <w:sz w:val="28"/>
        </w:rPr>
        <w:t>
</w:t>
      </w:r>
      <w:r>
        <w:rPr>
          <w:rFonts w:ascii="Times New Roman"/>
          <w:b w:val="false"/>
          <w:i w:val="false"/>
          <w:color w:val="000000"/>
          <w:sz w:val="28"/>
        </w:rPr>
        <w:t>
      11. При размещении антенн радиолюбительских радиостанций диапазона 1,8-30 МГц, радиостанций гражданского диапазона частот 26,5 - 27,5 МГц с эффективной излучаемой мощностью более 100 Вт обеспечивается невозможность доступа людей в зону установки антенны на расстояние не менее 5 метров от любой ее точки. Не допускается размещение передающих антенн диапазона 3-30 МГц с мощностью передатчиков более 1 килоВатт (далее - кВт) на крышах жилых, общественных и административных зданий не допускается.</w:t>
      </w:r>
      <w:r>
        <w:br/>
      </w:r>
      <w:r>
        <w:rPr>
          <w:rFonts w:ascii="Times New Roman"/>
          <w:b w:val="false"/>
          <w:i w:val="false"/>
          <w:color w:val="000000"/>
          <w:sz w:val="28"/>
        </w:rPr>
        <w:t>
</w:t>
      </w:r>
      <w:r>
        <w:rPr>
          <w:rFonts w:ascii="Times New Roman"/>
          <w:b w:val="false"/>
          <w:i w:val="false"/>
          <w:color w:val="000000"/>
          <w:sz w:val="28"/>
        </w:rPr>
        <w:t>
      12. Антенны РЭС кругового излучения в горизонтальной плоскости с отрицательным углом места максимума излучения в вертикальной плоскости более 10 градусов и мощностью более 25 Вт, размещаемые на крышах жилых, общественных и административных зданий, монтируются на высоте не менее 5 метров от уровня крыши.</w:t>
      </w:r>
      <w:r>
        <w:br/>
      </w:r>
      <w:r>
        <w:rPr>
          <w:rFonts w:ascii="Times New Roman"/>
          <w:b w:val="false"/>
          <w:i w:val="false"/>
          <w:color w:val="000000"/>
          <w:sz w:val="28"/>
        </w:rPr>
        <w:t>
</w:t>
      </w:r>
      <w:r>
        <w:rPr>
          <w:rFonts w:ascii="Times New Roman"/>
          <w:b w:val="false"/>
          <w:i w:val="false"/>
          <w:color w:val="000000"/>
          <w:sz w:val="28"/>
        </w:rPr>
        <w:t>
      13. Допускается размещение антен РЭС кругового и секторного излучения в горизонтальной плоскости, а также антенн станций спутниковой связи на крыше зданий, предназначенных для пребывания людей (производственных, жилых и общественных зданий), при соблюдении одного из следующих условий:</w:t>
      </w:r>
      <w:r>
        <w:br/>
      </w:r>
      <w:r>
        <w:rPr>
          <w:rFonts w:ascii="Times New Roman"/>
          <w:b w:val="false"/>
          <w:i w:val="false"/>
          <w:color w:val="000000"/>
          <w:sz w:val="28"/>
        </w:rPr>
        <w:t>
</w:t>
      </w:r>
      <w:r>
        <w:rPr>
          <w:rFonts w:ascii="Times New Roman"/>
          <w:b w:val="false"/>
          <w:i w:val="false"/>
          <w:color w:val="000000"/>
          <w:sz w:val="28"/>
        </w:rPr>
        <w:t>
      1) наличия железобетонного перекрытия верхнего этажа;</w:t>
      </w:r>
      <w:r>
        <w:br/>
      </w:r>
      <w:r>
        <w:rPr>
          <w:rFonts w:ascii="Times New Roman"/>
          <w:b w:val="false"/>
          <w:i w:val="false"/>
          <w:color w:val="000000"/>
          <w:sz w:val="28"/>
        </w:rPr>
        <w:t>
</w:t>
      </w:r>
      <w:r>
        <w:rPr>
          <w:rFonts w:ascii="Times New Roman"/>
          <w:b w:val="false"/>
          <w:i w:val="false"/>
          <w:color w:val="000000"/>
          <w:sz w:val="28"/>
        </w:rPr>
        <w:t>
      2) наличия металлической кровли;</w:t>
      </w:r>
      <w:r>
        <w:br/>
      </w:r>
      <w:r>
        <w:rPr>
          <w:rFonts w:ascii="Times New Roman"/>
          <w:b w:val="false"/>
          <w:i w:val="false"/>
          <w:color w:val="000000"/>
          <w:sz w:val="28"/>
        </w:rPr>
        <w:t>
</w:t>
      </w:r>
      <w:r>
        <w:rPr>
          <w:rFonts w:ascii="Times New Roman"/>
          <w:b w:val="false"/>
          <w:i w:val="false"/>
          <w:color w:val="000000"/>
          <w:sz w:val="28"/>
        </w:rPr>
        <w:t>
      3) наличия технического этажа.</w:t>
      </w:r>
      <w:r>
        <w:br/>
      </w:r>
      <w:r>
        <w:rPr>
          <w:rFonts w:ascii="Times New Roman"/>
          <w:b w:val="false"/>
          <w:i w:val="false"/>
          <w:color w:val="000000"/>
          <w:sz w:val="28"/>
        </w:rPr>
        <w:t>
</w:t>
      </w:r>
      <w:r>
        <w:rPr>
          <w:rFonts w:ascii="Times New Roman"/>
          <w:b w:val="false"/>
          <w:i w:val="false"/>
          <w:color w:val="000000"/>
          <w:sz w:val="28"/>
        </w:rPr>
        <w:t>
      14. Антенны РЭС кругового излучения в горизонтальной плоскости не размещаются на стенах с окнами, балконами, лоджиями жилых и общественных зданий вне зависимости от результатов расчетов СЗЗ, ЗОЗ и БОЗ.</w:t>
      </w:r>
      <w:r>
        <w:br/>
      </w:r>
      <w:r>
        <w:rPr>
          <w:rFonts w:ascii="Times New Roman"/>
          <w:b w:val="false"/>
          <w:i w:val="false"/>
          <w:color w:val="000000"/>
          <w:sz w:val="28"/>
        </w:rPr>
        <w:t>
</w:t>
      </w:r>
      <w:r>
        <w:rPr>
          <w:rFonts w:ascii="Times New Roman"/>
          <w:b w:val="false"/>
          <w:i w:val="false"/>
          <w:color w:val="000000"/>
          <w:sz w:val="28"/>
        </w:rPr>
        <w:t>
      15. Допускается размещение на капитальных (выполненных из кирпича, железобетона) стенах зданий или не капитальных стенах, не граничащих с помещениями для пребывания людей антенн направленного излучения в горизонтальной плоскости с мощностью передатчика не более 10 Вт. Расстояние от антенны до окон, балконов, лоджий составляет не менее 3 метров.</w:t>
      </w:r>
      <w:r>
        <w:br/>
      </w:r>
      <w:r>
        <w:rPr>
          <w:rFonts w:ascii="Times New Roman"/>
          <w:b w:val="false"/>
          <w:i w:val="false"/>
          <w:color w:val="000000"/>
          <w:sz w:val="28"/>
        </w:rPr>
        <w:t>
</w:t>
      </w:r>
      <w:r>
        <w:rPr>
          <w:rFonts w:ascii="Times New Roman"/>
          <w:b w:val="false"/>
          <w:i w:val="false"/>
          <w:color w:val="000000"/>
          <w:sz w:val="28"/>
        </w:rPr>
        <w:t>
      16. Антенны РЭС направленного излучения с мощностью передатчиков не более 25 Вт допускается размещать только на капитальных (выполненных из кирпича, железобетона) стенах зданий над верхним этажом.</w:t>
      </w:r>
      <w:r>
        <w:br/>
      </w:r>
      <w:r>
        <w:rPr>
          <w:rFonts w:ascii="Times New Roman"/>
          <w:b w:val="false"/>
          <w:i w:val="false"/>
          <w:color w:val="000000"/>
          <w:sz w:val="28"/>
        </w:rPr>
        <w:t>
</w:t>
      </w:r>
      <w:r>
        <w:rPr>
          <w:rFonts w:ascii="Times New Roman"/>
          <w:b w:val="false"/>
          <w:i w:val="false"/>
          <w:color w:val="000000"/>
          <w:sz w:val="28"/>
        </w:rPr>
        <w:t>
      17. Не допускается размещение антенн РЭС направленного излучения в горизонтальной плоскости на рекламных щитах, билбордах вблизи тротуаров, на остановочных комплексах за исключением случаев размещения на стенах технических этажей.</w:t>
      </w:r>
      <w:r>
        <w:br/>
      </w:r>
      <w:r>
        <w:rPr>
          <w:rFonts w:ascii="Times New Roman"/>
          <w:b w:val="false"/>
          <w:i w:val="false"/>
          <w:color w:val="000000"/>
          <w:sz w:val="28"/>
        </w:rPr>
        <w:t>
</w:t>
      </w:r>
      <w:r>
        <w:rPr>
          <w:rFonts w:ascii="Times New Roman"/>
          <w:b w:val="false"/>
          <w:i w:val="false"/>
          <w:color w:val="000000"/>
          <w:sz w:val="28"/>
        </w:rPr>
        <w:t>
      18. Внутри зданий и сооружений допускается установка только специально предназначенных для этого внутренних антенн по согласованию с государственными органами санитарно-эпидемиологической службы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19. Границы СЗЗ определяются на высоте 2 метров от поверхности земли. Размер СЗЗ рассчитывается от основания антенны с учетом перспективного развития РТО.</w:t>
      </w:r>
      <w:r>
        <w:br/>
      </w:r>
      <w:r>
        <w:rPr>
          <w:rFonts w:ascii="Times New Roman"/>
          <w:b w:val="false"/>
          <w:i w:val="false"/>
          <w:color w:val="000000"/>
          <w:sz w:val="28"/>
        </w:rPr>
        <w:t>
</w:t>
      </w:r>
      <w:r>
        <w:rPr>
          <w:rFonts w:ascii="Times New Roman"/>
          <w:b w:val="false"/>
          <w:i w:val="false"/>
          <w:color w:val="000000"/>
          <w:sz w:val="28"/>
        </w:rPr>
        <w:t>
      20. На внешних границах ЗОЗ на высоте существующей застройки, уровни ЭМП не допускается превышение ПДУ. Внешняя граница ЗОЗ определяется по максимальной высоте зданий сложившейся и перспективной застройки, при отсутствии сведений о перспективной застройке на высоте установки антенн РЭС от уровня земли.</w:t>
      </w:r>
      <w:r>
        <w:br/>
      </w:r>
      <w:r>
        <w:rPr>
          <w:rFonts w:ascii="Times New Roman"/>
          <w:b w:val="false"/>
          <w:i w:val="false"/>
          <w:color w:val="000000"/>
          <w:sz w:val="28"/>
        </w:rPr>
        <w:t>
</w:t>
      </w:r>
      <w:r>
        <w:rPr>
          <w:rFonts w:ascii="Times New Roman"/>
          <w:b w:val="false"/>
          <w:i w:val="false"/>
          <w:color w:val="000000"/>
          <w:sz w:val="28"/>
        </w:rPr>
        <w:t>
      21. Границы СЗЗ, ЗОЗ и БОЗ при приемке объекта в эксплуатацию уточняются после проведения инструментальных замеров уровней электромагнитного поля.</w:t>
      </w:r>
      <w:r>
        <w:br/>
      </w:r>
      <w:r>
        <w:rPr>
          <w:rFonts w:ascii="Times New Roman"/>
          <w:b w:val="false"/>
          <w:i w:val="false"/>
          <w:color w:val="000000"/>
          <w:sz w:val="28"/>
        </w:rPr>
        <w:t>
</w:t>
      </w:r>
      <w:r>
        <w:rPr>
          <w:rFonts w:ascii="Times New Roman"/>
          <w:b w:val="false"/>
          <w:i w:val="false"/>
          <w:color w:val="000000"/>
          <w:sz w:val="28"/>
        </w:rPr>
        <w:t>
      22. Для передающих радиостанций, оборудованных антеннами ненаправленного излучения в горизонтальной плоскости, для телевизионных станций, а также для радиолокационных станций кругового обзора СЗЗ и ЗОЗ устанавливаются вокруг РТО.</w:t>
      </w:r>
      <w:r>
        <w:br/>
      </w:r>
      <w:r>
        <w:rPr>
          <w:rFonts w:ascii="Times New Roman"/>
          <w:b w:val="false"/>
          <w:i w:val="false"/>
          <w:color w:val="000000"/>
          <w:sz w:val="28"/>
        </w:rPr>
        <w:t>
</w:t>
      </w:r>
      <w:r>
        <w:rPr>
          <w:rFonts w:ascii="Times New Roman"/>
          <w:b w:val="false"/>
          <w:i w:val="false"/>
          <w:color w:val="000000"/>
          <w:sz w:val="28"/>
        </w:rPr>
        <w:t>
      23. Для передающих станций, оборудованных антеннами направленного действия, а также для радиолокационных станций, антенны которых сканируют в определенном секторе или фиксированы в одном направлении, СЗЗ и ЗОЗ устанавливаются в направлении излучения электромагнитной энергии, с учетом боковых и задних лепестков, вертикальной и горизонтальной диаграмм направленности излучения антенн.</w:t>
      </w:r>
      <w:r>
        <w:br/>
      </w:r>
      <w:r>
        <w:rPr>
          <w:rFonts w:ascii="Times New Roman"/>
          <w:b w:val="false"/>
          <w:i w:val="false"/>
          <w:color w:val="000000"/>
          <w:sz w:val="28"/>
        </w:rPr>
        <w:t>
</w:t>
      </w:r>
      <w:r>
        <w:rPr>
          <w:rFonts w:ascii="Times New Roman"/>
          <w:b w:val="false"/>
          <w:i w:val="false"/>
          <w:color w:val="000000"/>
          <w:sz w:val="28"/>
        </w:rPr>
        <w:t>
      24. Для передающих станций, антенны которых излучают электромагнитную энергию под определенным углом к горизонту и уровень ЭМП изменяется в зависимости от высоты, ЗОЗ устанавливается по нижнему наклону луча дифференцированно по вертикали в пределах высоты зданий прилегающей жилой застройки.</w:t>
      </w:r>
      <w:r>
        <w:br/>
      </w:r>
      <w:r>
        <w:rPr>
          <w:rFonts w:ascii="Times New Roman"/>
          <w:b w:val="false"/>
          <w:i w:val="false"/>
          <w:color w:val="000000"/>
          <w:sz w:val="28"/>
        </w:rPr>
        <w:t>
</w:t>
      </w:r>
      <w:r>
        <w:rPr>
          <w:rFonts w:ascii="Times New Roman"/>
          <w:b w:val="false"/>
          <w:i w:val="false"/>
          <w:color w:val="000000"/>
          <w:sz w:val="28"/>
        </w:rPr>
        <w:t>
      25. Границы БОЗ рассчитываются только для одиночных антенн кругового излучения в горизонтальной плоскости или для направленных антенн. При установке большего числа антенн кругового излучения на одной площадке (мачте, опоре) или при перспективной установке поблизости от одиночной антенны других антенн должны определяться границы СЗЗ и ЗОЗ.</w:t>
      </w:r>
      <w:r>
        <w:br/>
      </w:r>
      <w:r>
        <w:rPr>
          <w:rFonts w:ascii="Times New Roman"/>
          <w:b w:val="false"/>
          <w:i w:val="false"/>
          <w:color w:val="000000"/>
          <w:sz w:val="28"/>
        </w:rPr>
        <w:t>
</w:t>
      </w:r>
      <w:r>
        <w:rPr>
          <w:rFonts w:ascii="Times New Roman"/>
          <w:b w:val="false"/>
          <w:i w:val="false"/>
          <w:color w:val="000000"/>
          <w:sz w:val="28"/>
        </w:rPr>
        <w:t>
      26. СЗЗ, ЗОЗ не используются как селитебная территория, для размещения площадок под стоянки и остановки всех видов транспорта, объектов по обслуживанию автомобилей, бензозаправочных станций, складов нефти и нефтепродуктов, для расширения промышленной площадки, под коллективные или индивидуальные дачные и садово-огородные участки.</w:t>
      </w:r>
    </w:p>
    <w:bookmarkEnd w:id="6"/>
    <w:bookmarkStart w:name="z57" w:id="7"/>
    <w:p>
      <w:pPr>
        <w:spacing w:after="0"/>
        <w:ind w:left="0"/>
        <w:jc w:val="left"/>
      </w:pPr>
      <w:r>
        <w:rPr>
          <w:rFonts w:ascii="Times New Roman"/>
          <w:b/>
          <w:i w:val="false"/>
          <w:color w:val="000000"/>
        </w:rPr>
        <w:t xml:space="preserve"> 
3. Санитарно-эпидемиологические требования к условиям работы с</w:t>
      </w:r>
      <w:r>
        <w:br/>
      </w:r>
      <w:r>
        <w:rPr>
          <w:rFonts w:ascii="Times New Roman"/>
          <w:b/>
          <w:i w:val="false"/>
          <w:color w:val="000000"/>
        </w:rPr>
        <w:t>
радиоэлектронными средствами</w:t>
      </w:r>
    </w:p>
    <w:bookmarkEnd w:id="7"/>
    <w:bookmarkStart w:name="z58" w:id="8"/>
    <w:p>
      <w:pPr>
        <w:spacing w:after="0"/>
        <w:ind w:left="0"/>
        <w:jc w:val="both"/>
      </w:pPr>
      <w:r>
        <w:rPr>
          <w:rFonts w:ascii="Times New Roman"/>
          <w:b w:val="false"/>
          <w:i w:val="false"/>
          <w:color w:val="000000"/>
          <w:sz w:val="28"/>
        </w:rPr>
        <w:t>
      27. ПДУ ЭМП на селитебной территории, в местах отдыха, внутри жилых, общественных и производственных помещений принимаются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28. Гигиеническая оценка воздействия ЭМП, создаваемого РЭС на обслуживающий персонал, осуществляется по энергетической нагрузке электрического поля, магнитного поля, плотности потока электромагнитной энергии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29. При одновременном облучении от нескольких источников, для которых установлены одни и те же ПДУ, суммарная напряженность электрического поля (Е) или суммарная плотность потока энергии (далее - ППЭ) не должны превышать значения ПДУ:</w:t>
      </w:r>
    </w:p>
    <w:bookmarkEnd w:id="8"/>
    <w:p>
      <w:pPr>
        <w:spacing w:after="0"/>
        <w:ind w:left="0"/>
        <w:jc w:val="both"/>
      </w:pPr>
      <w:r>
        <w:rPr>
          <w:rFonts w:ascii="Times New Roman"/>
          <w:b w:val="false"/>
          <w:i w:val="false"/>
          <w:color w:val="000000"/>
          <w:sz w:val="28"/>
        </w:rPr>
        <w:t>                   Е</w:t>
      </w:r>
      <w:r>
        <w:rPr>
          <w:rFonts w:ascii="Times New Roman"/>
          <w:b w:val="false"/>
          <w:i w:val="false"/>
          <w:color w:val="000000"/>
          <w:vertAlign w:val="subscript"/>
        </w:rPr>
        <w:t>сум</w:t>
      </w:r>
      <w:r>
        <w:rPr>
          <w:rFonts w:ascii="Times New Roman"/>
          <w:b w:val="false"/>
          <w:i w:val="false"/>
          <w:color w:val="000000"/>
          <w:sz w:val="28"/>
        </w:rPr>
        <w:t xml:space="preserve"> = (Е</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 xml:space="preserve"> + Е</w:t>
      </w:r>
      <w:r>
        <w:rPr>
          <w:rFonts w:ascii="Times New Roman"/>
          <w:b w:val="false"/>
          <w:i w:val="false"/>
          <w:color w:val="000000"/>
          <w:vertAlign w:val="subscript"/>
        </w:rPr>
        <w:t>2</w:t>
      </w:r>
      <w:r>
        <w:rPr>
          <w:rFonts w:ascii="Times New Roman"/>
          <w:b w:val="false"/>
          <w:i w:val="false"/>
          <w:color w:val="000000"/>
          <w:vertAlign w:val="superscript"/>
        </w:rPr>
        <w:t>2</w:t>
      </w:r>
      <w:r>
        <w:rPr>
          <w:rFonts w:ascii="Times New Roman"/>
          <w:b w:val="false"/>
          <w:i w:val="false"/>
          <w:color w:val="000000"/>
          <w:sz w:val="28"/>
        </w:rPr>
        <w:t xml:space="preserve"> + … + Е</w:t>
      </w:r>
      <w:r>
        <w:rPr>
          <w:rFonts w:ascii="Times New Roman"/>
          <w:b w:val="false"/>
          <w:i w:val="false"/>
          <w:color w:val="000000"/>
          <w:vertAlign w:val="subscript"/>
        </w:rPr>
        <w:t>n</w:t>
      </w:r>
      <w:r>
        <w:rPr>
          <w:rFonts w:ascii="Times New Roman"/>
          <w:b w:val="false"/>
          <w:i w:val="false"/>
          <w:color w:val="000000"/>
          <w:vertAlign w:val="superscript"/>
        </w:rPr>
        <w:t>2</w:t>
      </w:r>
      <w:r>
        <w:rPr>
          <w:rFonts w:ascii="Times New Roman"/>
          <w:b w:val="false"/>
          <w:i w:val="false"/>
          <w:color w:val="000000"/>
          <w:sz w:val="28"/>
        </w:rPr>
        <w:t>)</w:t>
      </w:r>
      <w:r>
        <w:rPr>
          <w:rFonts w:ascii="Times New Roman"/>
          <w:b w:val="false"/>
          <w:i w:val="false"/>
          <w:color w:val="000000"/>
          <w:vertAlign w:val="superscript"/>
        </w:rPr>
        <w:t>0,5</w:t>
      </w:r>
      <w:r>
        <w:rPr>
          <w:rFonts w:ascii="Times New Roman"/>
          <w:b w:val="false"/>
          <w:i w:val="false"/>
          <w:color w:val="000000"/>
          <w:sz w:val="28"/>
        </w:rPr>
        <w:t xml:space="preserve"> &lt; Е</w:t>
      </w:r>
      <w:r>
        <w:rPr>
          <w:rFonts w:ascii="Times New Roman"/>
          <w:b w:val="false"/>
          <w:i w:val="false"/>
          <w:color w:val="000000"/>
          <w:vertAlign w:val="subscript"/>
        </w:rPr>
        <w:t>пду</w:t>
      </w: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ППЭ</w:t>
      </w:r>
      <w:r>
        <w:rPr>
          <w:rFonts w:ascii="Times New Roman"/>
          <w:b w:val="false"/>
          <w:i w:val="false"/>
          <w:color w:val="000000"/>
          <w:vertAlign w:val="subscript"/>
        </w:rPr>
        <w:t>сум</w:t>
      </w:r>
      <w:r>
        <w:rPr>
          <w:rFonts w:ascii="Times New Roman"/>
          <w:b w:val="false"/>
          <w:i w:val="false"/>
          <w:color w:val="000000"/>
          <w:sz w:val="28"/>
        </w:rPr>
        <w:t xml:space="preserve"> = ППЭ</w:t>
      </w:r>
      <w:r>
        <w:rPr>
          <w:rFonts w:ascii="Times New Roman"/>
          <w:b w:val="false"/>
          <w:i w:val="false"/>
          <w:color w:val="000000"/>
          <w:vertAlign w:val="subscript"/>
        </w:rPr>
        <w:t>1</w:t>
      </w:r>
      <w:r>
        <w:rPr>
          <w:rFonts w:ascii="Times New Roman"/>
          <w:b w:val="false"/>
          <w:i w:val="false"/>
          <w:color w:val="000000"/>
          <w:sz w:val="28"/>
        </w:rPr>
        <w:t xml:space="preserve"> + ППЭ</w:t>
      </w:r>
      <w:r>
        <w:rPr>
          <w:rFonts w:ascii="Times New Roman"/>
          <w:b w:val="false"/>
          <w:i w:val="false"/>
          <w:color w:val="000000"/>
          <w:vertAlign w:val="subscript"/>
        </w:rPr>
        <w:t>2</w:t>
      </w:r>
      <w:r>
        <w:rPr>
          <w:rFonts w:ascii="Times New Roman"/>
          <w:b w:val="false"/>
          <w:i w:val="false"/>
          <w:color w:val="000000"/>
          <w:sz w:val="28"/>
        </w:rPr>
        <w:t xml:space="preserve"> + … + ППЭ</w:t>
      </w:r>
      <w:r>
        <w:rPr>
          <w:rFonts w:ascii="Times New Roman"/>
          <w:b w:val="false"/>
          <w:i w:val="false"/>
          <w:color w:val="000000"/>
          <w:vertAlign w:val="subscript"/>
        </w:rPr>
        <w:t>n</w:t>
      </w:r>
      <w:r>
        <w:rPr>
          <w:rFonts w:ascii="Times New Roman"/>
          <w:b w:val="false"/>
          <w:i w:val="false"/>
          <w:color w:val="000000"/>
          <w:sz w:val="28"/>
        </w:rPr>
        <w:t xml:space="preserve"> &lt; ППЭ</w:t>
      </w:r>
      <w:r>
        <w:rPr>
          <w:rFonts w:ascii="Times New Roman"/>
          <w:b w:val="false"/>
          <w:i w:val="false"/>
          <w:color w:val="000000"/>
          <w:vertAlign w:val="subscript"/>
        </w:rPr>
        <w:t>пду</w:t>
      </w:r>
      <w:r>
        <w:rPr>
          <w:rFonts w:ascii="Times New Roman"/>
          <w:b w:val="false"/>
          <w:i w:val="false"/>
          <w:color w:val="000000"/>
          <w:sz w:val="28"/>
        </w:rPr>
        <w:t xml:space="preserve"> (2)</w:t>
      </w:r>
    </w:p>
    <w:bookmarkStart w:name="z61" w:id="9"/>
    <w:p>
      <w:pPr>
        <w:spacing w:after="0"/>
        <w:ind w:left="0"/>
        <w:jc w:val="both"/>
      </w:pPr>
      <w:r>
        <w:rPr>
          <w:rFonts w:ascii="Times New Roman"/>
          <w:b w:val="false"/>
          <w:i w:val="false"/>
          <w:color w:val="000000"/>
          <w:sz w:val="28"/>
        </w:rPr>
        <w:t>
      При одновременном облучении от нескольких источников, для которых установлены разные ПДУ, суммарная напряженность электрического поля (далее - Е) и суммарная ППЭ не должны превышать 1,0:</w:t>
      </w:r>
    </w:p>
    <w:bookmarkEnd w:id="9"/>
    <w:p>
      <w:pPr>
        <w:spacing w:after="0"/>
        <w:ind w:left="0"/>
        <w:jc w:val="both"/>
      </w:pPr>
      <w:r>
        <w:rPr>
          <w:rFonts w:ascii="Times New Roman"/>
          <w:b w:val="false"/>
          <w:i/>
          <w:color w:val="000000"/>
          <w:sz w:val="28"/>
        </w:rPr>
        <w:t>               Е</w:t>
      </w:r>
      <w:r>
        <w:rPr>
          <w:rFonts w:ascii="Times New Roman"/>
          <w:b w:val="false"/>
          <w:i w:val="false"/>
          <w:color w:val="000000"/>
          <w:vertAlign w:val="subscript"/>
        </w:rPr>
        <w:t>1</w:t>
      </w:r>
      <w:r>
        <w:rPr>
          <w:rFonts w:ascii="Times New Roman"/>
          <w:b w:val="false"/>
          <w:i w:val="false"/>
          <w:color w:val="000000"/>
          <w:sz w:val="28"/>
        </w:rPr>
        <w:t>       </w:t>
      </w:r>
      <w:r>
        <w:rPr>
          <w:rFonts w:ascii="Times New Roman"/>
          <w:b w:val="false"/>
          <w:i/>
          <w:color w:val="000000"/>
          <w:sz w:val="28"/>
        </w:rPr>
        <w:t>Е</w:t>
      </w:r>
      <w:r>
        <w:rPr>
          <w:rFonts w:ascii="Times New Roman"/>
          <w:b w:val="false"/>
          <w:i w:val="false"/>
          <w:color w:val="000000"/>
          <w:vertAlign w:val="subscript"/>
        </w:rPr>
        <w:t>2</w:t>
      </w:r>
      <w:r>
        <w:rPr>
          <w:rFonts w:ascii="Times New Roman"/>
          <w:b w:val="false"/>
          <w:i w:val="false"/>
          <w:color w:val="000000"/>
          <w:sz w:val="28"/>
        </w:rPr>
        <w:t>               </w:t>
      </w:r>
      <w:r>
        <w:rPr>
          <w:rFonts w:ascii="Times New Roman"/>
          <w:b w:val="false"/>
          <w:i/>
          <w:color w:val="000000"/>
          <w:sz w:val="28"/>
        </w:rPr>
        <w:t>ППЭ</w:t>
      </w:r>
      <w:r>
        <w:rPr>
          <w:rFonts w:ascii="Times New Roman"/>
          <w:b w:val="false"/>
          <w:i w:val="false"/>
          <w:color w:val="000000"/>
          <w:vertAlign w:val="subscript"/>
        </w:rPr>
        <w:t>1</w:t>
      </w:r>
      <w:r>
        <w:rPr>
          <w:rFonts w:ascii="Times New Roman"/>
          <w:b w:val="false"/>
          <w:i w:val="false"/>
          <w:color w:val="000000"/>
          <w:sz w:val="28"/>
        </w:rPr>
        <w:t>            </w:t>
      </w:r>
      <w:r>
        <w:rPr>
          <w:rFonts w:ascii="Times New Roman"/>
          <w:b w:val="false"/>
          <w:i/>
          <w:color w:val="000000"/>
          <w:sz w:val="28"/>
        </w:rPr>
        <w:t>ППЭ</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color w:val="000000"/>
          <w:sz w:val="28"/>
        </w:rPr>
        <w:t xml:space="preserve">             ----- - ----- - ... - ------ - ... ------- </w:t>
      </w:r>
      <w:r>
        <w:rPr>
          <w:rFonts w:ascii="Times New Roman"/>
          <w:b w:val="false"/>
          <w:i w:val="false"/>
          <w:color w:val="000000"/>
          <w:sz w:val="28"/>
          <w:u w:val="single"/>
        </w:rPr>
        <w:t>&lt;</w:t>
      </w:r>
      <w:r>
        <w:rPr>
          <w:rFonts w:ascii="Times New Roman"/>
          <w:b w:val="false"/>
          <w:i/>
          <w:color w:val="000000"/>
          <w:sz w:val="28"/>
        </w:rPr>
        <w:t xml:space="preserve"> 1    </w:t>
      </w:r>
      <w:r>
        <w:rPr>
          <w:rFonts w:ascii="Times New Roman"/>
          <w:b w:val="false"/>
          <w:i w:val="false"/>
          <w:color w:val="000000"/>
          <w:sz w:val="28"/>
        </w:rPr>
        <w:t>(3)</w:t>
      </w:r>
      <w:r>
        <w:br/>
      </w:r>
      <w:r>
        <w:rPr>
          <w:rFonts w:ascii="Times New Roman"/>
          <w:b w:val="false"/>
          <w:i w:val="false"/>
          <w:color w:val="000000"/>
          <w:sz w:val="28"/>
        </w:rPr>
        <w:t>
              </w:t>
      </w:r>
      <w:r>
        <w:rPr>
          <w:rFonts w:ascii="Times New Roman"/>
          <w:b w:val="false"/>
          <w:i w:val="false"/>
          <w:color w:val="000000"/>
          <w:vertAlign w:val="superscript"/>
        </w:rPr>
        <w:t>Е</w:t>
      </w:r>
      <w:r>
        <w:rPr>
          <w:rFonts w:ascii="Times New Roman"/>
          <w:b w:val="false"/>
          <w:i/>
          <w:color w:val="000000"/>
          <w:sz w:val="28"/>
        </w:rPr>
        <w:t>ПДУ</w:t>
      </w:r>
      <w:r>
        <w:rPr>
          <w:rFonts w:ascii="Times New Roman"/>
          <w:b w:val="false"/>
          <w:i w:val="false"/>
          <w:color w:val="000000"/>
          <w:vertAlign w:val="subscript"/>
        </w:rPr>
        <w:t>1</w:t>
      </w:r>
      <w:r>
        <w:rPr>
          <w:rFonts w:ascii="Times New Roman"/>
          <w:b w:val="false"/>
          <w:i w:val="false"/>
          <w:color w:val="000000"/>
          <w:sz w:val="28"/>
        </w:rPr>
        <w:t>     </w:t>
      </w:r>
      <w:r>
        <w:rPr>
          <w:rFonts w:ascii="Times New Roman"/>
          <w:b w:val="false"/>
          <w:i w:val="false"/>
          <w:color w:val="000000"/>
          <w:vertAlign w:val="superscript"/>
        </w:rPr>
        <w:t>Е</w:t>
      </w:r>
      <w:r>
        <w:rPr>
          <w:rFonts w:ascii="Times New Roman"/>
          <w:b w:val="false"/>
          <w:i/>
          <w:color w:val="000000"/>
          <w:sz w:val="28"/>
        </w:rPr>
        <w:t>ПДУ</w:t>
      </w:r>
      <w:r>
        <w:rPr>
          <w:rFonts w:ascii="Times New Roman"/>
          <w:b w:val="false"/>
          <w:i w:val="false"/>
          <w:color w:val="000000"/>
          <w:vertAlign w:val="subscript"/>
        </w:rPr>
        <w:t>2</w:t>
      </w:r>
      <w:r>
        <w:rPr>
          <w:rFonts w:ascii="Times New Roman"/>
          <w:b w:val="false"/>
          <w:i w:val="false"/>
          <w:color w:val="000000"/>
          <w:sz w:val="28"/>
        </w:rPr>
        <w:t>            </w:t>
      </w:r>
      <w:r>
        <w:rPr>
          <w:rFonts w:ascii="Times New Roman"/>
          <w:b w:val="false"/>
          <w:i w:val="false"/>
          <w:color w:val="000000"/>
          <w:vertAlign w:val="superscript"/>
        </w:rPr>
        <w:t>ППЭ</w:t>
      </w:r>
      <w:r>
        <w:rPr>
          <w:rFonts w:ascii="Times New Roman"/>
          <w:b w:val="false"/>
          <w:i/>
          <w:color w:val="000000"/>
          <w:sz w:val="28"/>
        </w:rPr>
        <w:t>ПДУ</w:t>
      </w:r>
      <w:r>
        <w:rPr>
          <w:rFonts w:ascii="Times New Roman"/>
          <w:b w:val="false"/>
          <w:i w:val="false"/>
          <w:color w:val="000000"/>
          <w:vertAlign w:val="subscript"/>
        </w:rPr>
        <w:t>1</w:t>
      </w:r>
      <w:r>
        <w:rPr>
          <w:rFonts w:ascii="Times New Roman"/>
          <w:b w:val="false"/>
          <w:i w:val="false"/>
          <w:color w:val="000000"/>
          <w:sz w:val="28"/>
        </w:rPr>
        <w:t>         </w:t>
      </w:r>
      <w:r>
        <w:rPr>
          <w:rFonts w:ascii="Times New Roman"/>
          <w:b w:val="false"/>
          <w:i w:val="false"/>
          <w:color w:val="000000"/>
          <w:vertAlign w:val="superscript"/>
        </w:rPr>
        <w:t>ПДУ</w:t>
      </w:r>
      <w:r>
        <w:rPr>
          <w:rFonts w:ascii="Times New Roman"/>
          <w:b w:val="false"/>
          <w:i/>
          <w:color w:val="000000"/>
          <w:sz w:val="28"/>
        </w:rPr>
        <w:t>ППЭ</w:t>
      </w:r>
      <w:r>
        <w:rPr>
          <w:rFonts w:ascii="Times New Roman"/>
          <w:b w:val="false"/>
          <w:i w:val="false"/>
          <w:color w:val="000000"/>
          <w:vertAlign w:val="subscript"/>
        </w:rPr>
        <w:t>n</w:t>
      </w:r>
    </w:p>
    <w:bookmarkStart w:name="z62" w:id="1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Е</w:t>
      </w:r>
      <w:r>
        <w:rPr>
          <w:rFonts w:ascii="Times New Roman"/>
          <w:b w:val="false"/>
          <w:i w:val="false"/>
          <w:color w:val="000000"/>
          <w:vertAlign w:val="subscript"/>
        </w:rPr>
        <w:t>1,2,…,n</w:t>
      </w:r>
      <w:r>
        <w:rPr>
          <w:rFonts w:ascii="Times New Roman"/>
          <w:b w:val="false"/>
          <w:i w:val="false"/>
          <w:color w:val="000000"/>
          <w:sz w:val="28"/>
        </w:rPr>
        <w:t xml:space="preserve"> - в формуле (1) - напряженность электрического поля, создаваемая каждым источником ЭМП в отдельности, вольт на метр (далее - В/м); в формуле (3) - суммарная напряженность электрического поля в каждом нормируемом диапазоне частот, определенная по формуле (1), В/м;</w:t>
      </w:r>
      <w:r>
        <w:br/>
      </w:r>
      <w:r>
        <w:rPr>
          <w:rFonts w:ascii="Times New Roman"/>
          <w:b w:val="false"/>
          <w:i w:val="false"/>
          <w:color w:val="000000"/>
          <w:sz w:val="28"/>
        </w:rPr>
        <w:t>
</w:t>
      </w:r>
      <w:r>
        <w:rPr>
          <w:rFonts w:ascii="Times New Roman"/>
          <w:b w:val="false"/>
          <w:i w:val="false"/>
          <w:color w:val="000000"/>
          <w:sz w:val="28"/>
        </w:rPr>
        <w:t>
      Епду</w:t>
      </w:r>
      <w:r>
        <w:rPr>
          <w:rFonts w:ascii="Times New Roman"/>
          <w:b w:val="false"/>
          <w:i w:val="false"/>
          <w:color w:val="000000"/>
          <w:vertAlign w:val="subscript"/>
        </w:rPr>
        <w:t>1,2,…,n</w:t>
      </w:r>
      <w:r>
        <w:rPr>
          <w:rFonts w:ascii="Times New Roman"/>
          <w:b w:val="false"/>
          <w:i w:val="false"/>
          <w:color w:val="000000"/>
          <w:sz w:val="28"/>
        </w:rPr>
        <w:t xml:space="preserve"> - предельно допустимая напряженность электрического поля нормируемого диапазона, В/м;</w:t>
      </w:r>
      <w:r>
        <w:br/>
      </w:r>
      <w:r>
        <w:rPr>
          <w:rFonts w:ascii="Times New Roman"/>
          <w:b w:val="false"/>
          <w:i w:val="false"/>
          <w:color w:val="000000"/>
          <w:sz w:val="28"/>
        </w:rPr>
        <w:t>
</w:t>
      </w:r>
      <w:r>
        <w:rPr>
          <w:rFonts w:ascii="Times New Roman"/>
          <w:b w:val="false"/>
          <w:i w:val="false"/>
          <w:color w:val="000000"/>
          <w:sz w:val="28"/>
        </w:rPr>
        <w:t>
      ППЭ</w:t>
      </w:r>
      <w:r>
        <w:rPr>
          <w:rFonts w:ascii="Times New Roman"/>
          <w:b w:val="false"/>
          <w:i w:val="false"/>
          <w:color w:val="000000"/>
          <w:vertAlign w:val="subscript"/>
        </w:rPr>
        <w:t>1,2,…,n</w:t>
      </w:r>
      <w:r>
        <w:rPr>
          <w:rFonts w:ascii="Times New Roman"/>
          <w:b w:val="false"/>
          <w:i w:val="false"/>
          <w:color w:val="000000"/>
          <w:sz w:val="28"/>
        </w:rPr>
        <w:t xml:space="preserve"> - в формуле (2) - плотность потока энергии, создаваемая каждым источником ЭМП в отдельности, микроватт на квадратный сантиметр (далее - мкВт/см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формуле (3) - суммарная плотность потока энергии в каждом нормируемом диапазоне частот, определенная по формуле (2), мкВт/см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ППЭ</w:t>
      </w:r>
      <w:r>
        <w:rPr>
          <w:rFonts w:ascii="Times New Roman"/>
          <w:b w:val="false"/>
          <w:i w:val="false"/>
          <w:color w:val="000000"/>
          <w:vertAlign w:val="subscript"/>
        </w:rPr>
        <w:t>ПДУ</w:t>
      </w:r>
      <w:r>
        <w:rPr>
          <w:rFonts w:ascii="Times New Roman"/>
          <w:b w:val="false"/>
          <w:i w:val="false"/>
          <w:color w:val="000000"/>
          <w:sz w:val="28"/>
        </w:rPr>
        <w:t xml:space="preserve"> - предельно допустимый уровень плотности потока энергии нормируемого диапазона, мкВт/см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Для контроля уровней ЭМП, создаваемых РЭС, используются расчетные и инструментальные методы.</w:t>
      </w:r>
      <w:r>
        <w:br/>
      </w:r>
      <w:r>
        <w:rPr>
          <w:rFonts w:ascii="Times New Roman"/>
          <w:b w:val="false"/>
          <w:i w:val="false"/>
          <w:color w:val="000000"/>
          <w:sz w:val="28"/>
        </w:rPr>
        <w:t>
</w:t>
      </w:r>
      <w:r>
        <w:rPr>
          <w:rFonts w:ascii="Times New Roman"/>
          <w:b w:val="false"/>
          <w:i w:val="false"/>
          <w:color w:val="000000"/>
          <w:sz w:val="28"/>
        </w:rPr>
        <w:t>
      31. Расчетные методы используются при экспертизе проектных документов, санитарно-эпидемиологических заключений на РТО с учетом типов передающих средств, рабочих частот, режимов и мощностей, параметров и пространственного расположения антенн, рельефа местности, наличия переотражающих поверхностей. Проектные документы на радиолокационные станции дополнительно должны содержать сведения о частоте посылки импульсов, длительности импульса и частоте вращения антенны.</w:t>
      </w:r>
      <w:r>
        <w:br/>
      </w:r>
      <w:r>
        <w:rPr>
          <w:rFonts w:ascii="Times New Roman"/>
          <w:b w:val="false"/>
          <w:i w:val="false"/>
          <w:color w:val="000000"/>
          <w:sz w:val="28"/>
        </w:rPr>
        <w:t>
</w:t>
      </w:r>
      <w:r>
        <w:rPr>
          <w:rFonts w:ascii="Times New Roman"/>
          <w:b w:val="false"/>
          <w:i w:val="false"/>
          <w:color w:val="000000"/>
          <w:sz w:val="28"/>
        </w:rPr>
        <w:t>
      32. Инструментальные методы используются для контроля уровней ЭМП, создаваемых РЭС. При использовании инструментальных методов контроля обеспечивается постоянство режимов и максимальной мощности излучающих средств.</w:t>
      </w:r>
      <w:r>
        <w:br/>
      </w:r>
      <w:r>
        <w:rPr>
          <w:rFonts w:ascii="Times New Roman"/>
          <w:b w:val="false"/>
          <w:i w:val="false"/>
          <w:color w:val="000000"/>
          <w:sz w:val="28"/>
        </w:rPr>
        <w:t>
</w:t>
      </w:r>
      <w:r>
        <w:rPr>
          <w:rFonts w:ascii="Times New Roman"/>
          <w:b w:val="false"/>
          <w:i w:val="false"/>
          <w:color w:val="000000"/>
          <w:sz w:val="28"/>
        </w:rPr>
        <w:t>
      33. При инструментальном методе контроля уровней ЭМП используются средства измерения, прошедшие государственную поверку и имеющие соответствующее свидетельство (сертификат).</w:t>
      </w:r>
      <w:r>
        <w:br/>
      </w:r>
      <w:r>
        <w:rPr>
          <w:rFonts w:ascii="Times New Roman"/>
          <w:b w:val="false"/>
          <w:i w:val="false"/>
          <w:color w:val="000000"/>
          <w:sz w:val="28"/>
        </w:rPr>
        <w:t>
</w:t>
      </w:r>
      <w:r>
        <w:rPr>
          <w:rFonts w:ascii="Times New Roman"/>
          <w:b w:val="false"/>
          <w:i w:val="false"/>
          <w:color w:val="000000"/>
          <w:sz w:val="28"/>
        </w:rPr>
        <w:t>
      34. Инструментальный контроль уровней ЭМП РЭС проводится:</w:t>
      </w:r>
      <w:r>
        <w:br/>
      </w:r>
      <w:r>
        <w:rPr>
          <w:rFonts w:ascii="Times New Roman"/>
          <w:b w:val="false"/>
          <w:i w:val="false"/>
          <w:color w:val="000000"/>
          <w:sz w:val="28"/>
        </w:rPr>
        <w:t>
</w:t>
      </w:r>
      <w:r>
        <w:rPr>
          <w:rFonts w:ascii="Times New Roman"/>
          <w:b w:val="false"/>
          <w:i w:val="false"/>
          <w:color w:val="000000"/>
          <w:sz w:val="28"/>
        </w:rPr>
        <w:t>
      1) при вводе в эксплуатацию РТО;</w:t>
      </w:r>
      <w:r>
        <w:br/>
      </w:r>
      <w:r>
        <w:rPr>
          <w:rFonts w:ascii="Times New Roman"/>
          <w:b w:val="false"/>
          <w:i w:val="false"/>
          <w:color w:val="000000"/>
          <w:sz w:val="28"/>
        </w:rPr>
        <w:t>
</w:t>
      </w:r>
      <w:r>
        <w:rPr>
          <w:rFonts w:ascii="Times New Roman"/>
          <w:b w:val="false"/>
          <w:i w:val="false"/>
          <w:color w:val="000000"/>
          <w:sz w:val="28"/>
        </w:rPr>
        <w:t>
      2) при изменении условий и режима работы РЭС, влияющих на уровни ЭМП (изменение ориентации антенн, увеличение мощности передатчиков);</w:t>
      </w:r>
      <w:r>
        <w:br/>
      </w:r>
      <w:r>
        <w:rPr>
          <w:rFonts w:ascii="Times New Roman"/>
          <w:b w:val="false"/>
          <w:i w:val="false"/>
          <w:color w:val="000000"/>
          <w:sz w:val="28"/>
        </w:rPr>
        <w:t>
</w:t>
      </w:r>
      <w:r>
        <w:rPr>
          <w:rFonts w:ascii="Times New Roman"/>
          <w:b w:val="false"/>
          <w:i w:val="false"/>
          <w:color w:val="000000"/>
          <w:sz w:val="28"/>
        </w:rPr>
        <w:t>
      3) при изменении ситуационного плана на территории, прилегающей к РЭС;</w:t>
      </w:r>
      <w:r>
        <w:br/>
      </w:r>
      <w:r>
        <w:rPr>
          <w:rFonts w:ascii="Times New Roman"/>
          <w:b w:val="false"/>
          <w:i w:val="false"/>
          <w:color w:val="000000"/>
          <w:sz w:val="28"/>
        </w:rPr>
        <w:t>
</w:t>
      </w:r>
      <w:r>
        <w:rPr>
          <w:rFonts w:ascii="Times New Roman"/>
          <w:b w:val="false"/>
          <w:i w:val="false"/>
          <w:color w:val="000000"/>
          <w:sz w:val="28"/>
        </w:rPr>
        <w:t>
      4) при проведении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5) после проведения мероприятий по снижению уровней ЭМП.</w:t>
      </w:r>
    </w:p>
    <w:bookmarkEnd w:id="10"/>
    <w:bookmarkStart w:name="z78" w:id="11"/>
    <w:p>
      <w:pPr>
        <w:spacing w:after="0"/>
        <w:ind w:left="0"/>
        <w:jc w:val="left"/>
      </w:pPr>
      <w:r>
        <w:rPr>
          <w:rFonts w:ascii="Times New Roman"/>
          <w:b/>
          <w:i w:val="false"/>
          <w:color w:val="000000"/>
        </w:rPr>
        <w:t xml:space="preserve"> 
4. Мероприятия по профилактике неблагоприятного воздействия</w:t>
      </w:r>
      <w:r>
        <w:br/>
      </w:r>
      <w:r>
        <w:rPr>
          <w:rFonts w:ascii="Times New Roman"/>
          <w:b/>
          <w:i w:val="false"/>
          <w:color w:val="000000"/>
        </w:rPr>
        <w:t>
на человека электромагнитных полей, создаваемых РЭС</w:t>
      </w:r>
    </w:p>
    <w:bookmarkEnd w:id="11"/>
    <w:bookmarkStart w:name="z79" w:id="12"/>
    <w:p>
      <w:pPr>
        <w:spacing w:after="0"/>
        <w:ind w:left="0"/>
        <w:jc w:val="both"/>
      </w:pPr>
      <w:r>
        <w:rPr>
          <w:rFonts w:ascii="Times New Roman"/>
          <w:b w:val="false"/>
          <w:i w:val="false"/>
          <w:color w:val="000000"/>
          <w:sz w:val="28"/>
        </w:rPr>
        <w:t>
      35. Обеспечение защиты работников от неблагоприятного влияния ЭМП осуществляется путем проведения организационных, инженерно-технических и профилактических мероприятий.</w:t>
      </w:r>
      <w:r>
        <w:br/>
      </w:r>
      <w:r>
        <w:rPr>
          <w:rFonts w:ascii="Times New Roman"/>
          <w:b w:val="false"/>
          <w:i w:val="false"/>
          <w:color w:val="000000"/>
          <w:sz w:val="28"/>
        </w:rPr>
        <w:t>
</w:t>
      </w:r>
      <w:r>
        <w:rPr>
          <w:rFonts w:ascii="Times New Roman"/>
          <w:b w:val="false"/>
          <w:i w:val="false"/>
          <w:color w:val="000000"/>
          <w:sz w:val="28"/>
        </w:rPr>
        <w:t>
      36. Организационные мероприятия предусматривают:</w:t>
      </w:r>
      <w:r>
        <w:br/>
      </w:r>
      <w:r>
        <w:rPr>
          <w:rFonts w:ascii="Times New Roman"/>
          <w:b w:val="false"/>
          <w:i w:val="false"/>
          <w:color w:val="000000"/>
          <w:sz w:val="28"/>
        </w:rPr>
        <w:t>
</w:t>
      </w:r>
      <w:r>
        <w:rPr>
          <w:rFonts w:ascii="Times New Roman"/>
          <w:b w:val="false"/>
          <w:i w:val="false"/>
          <w:color w:val="000000"/>
          <w:sz w:val="28"/>
        </w:rPr>
        <w:t>
      1) выбор рациональных режимов работы;</w:t>
      </w:r>
      <w:r>
        <w:br/>
      </w:r>
      <w:r>
        <w:rPr>
          <w:rFonts w:ascii="Times New Roman"/>
          <w:b w:val="false"/>
          <w:i w:val="false"/>
          <w:color w:val="000000"/>
          <w:sz w:val="28"/>
        </w:rPr>
        <w:t>
</w:t>
      </w:r>
      <w:r>
        <w:rPr>
          <w:rFonts w:ascii="Times New Roman"/>
          <w:b w:val="false"/>
          <w:i w:val="false"/>
          <w:color w:val="000000"/>
          <w:sz w:val="28"/>
        </w:rPr>
        <w:t>
      2) ограничение продолжительности пребывания персонала в условиях воздействия ЭМП;</w:t>
      </w:r>
      <w:r>
        <w:br/>
      </w:r>
      <w:r>
        <w:rPr>
          <w:rFonts w:ascii="Times New Roman"/>
          <w:b w:val="false"/>
          <w:i w:val="false"/>
          <w:color w:val="000000"/>
          <w:sz w:val="28"/>
        </w:rPr>
        <w:t>
</w:t>
      </w:r>
      <w:r>
        <w:rPr>
          <w:rFonts w:ascii="Times New Roman"/>
          <w:b w:val="false"/>
          <w:i w:val="false"/>
          <w:color w:val="000000"/>
          <w:sz w:val="28"/>
        </w:rPr>
        <w:t>
      3) организацию рабочих мест на расстояниях от источников ЭМП, обеспечивающих соблюдение нормативных требований.</w:t>
      </w:r>
      <w:r>
        <w:br/>
      </w:r>
      <w:r>
        <w:rPr>
          <w:rFonts w:ascii="Times New Roman"/>
          <w:b w:val="false"/>
          <w:i w:val="false"/>
          <w:color w:val="000000"/>
          <w:sz w:val="28"/>
        </w:rPr>
        <w:t>
</w:t>
      </w:r>
      <w:r>
        <w:rPr>
          <w:rFonts w:ascii="Times New Roman"/>
          <w:b w:val="false"/>
          <w:i w:val="false"/>
          <w:color w:val="000000"/>
          <w:sz w:val="28"/>
        </w:rPr>
        <w:t>
      37. Инженерно-технические мероприятия включают рациональное размещение источников ЭМП и применение коллективных и индивидуальных средств защиты, в том числе экранирование источников ЭМП или рабочих мест.</w:t>
      </w:r>
      <w:r>
        <w:br/>
      </w:r>
      <w:r>
        <w:rPr>
          <w:rFonts w:ascii="Times New Roman"/>
          <w:b w:val="false"/>
          <w:i w:val="false"/>
          <w:color w:val="000000"/>
          <w:sz w:val="28"/>
        </w:rPr>
        <w:t>
</w:t>
      </w:r>
      <w:r>
        <w:rPr>
          <w:rFonts w:ascii="Times New Roman"/>
          <w:b w:val="false"/>
          <w:i w:val="false"/>
          <w:color w:val="000000"/>
          <w:sz w:val="28"/>
        </w:rPr>
        <w:t>
      38. Во всех случаях размещения РТО, его владелец рассматривает возможность применения различных методов защиты (пассивных и активных) общественных и производственных зданий от ЭМП на стадиях проектирования, строительства, реконструкции и эксплуатации.</w:t>
      </w:r>
      <w:r>
        <w:br/>
      </w:r>
      <w:r>
        <w:rPr>
          <w:rFonts w:ascii="Times New Roman"/>
          <w:b w:val="false"/>
          <w:i w:val="false"/>
          <w:color w:val="000000"/>
          <w:sz w:val="28"/>
        </w:rPr>
        <w:t>
</w:t>
      </w:r>
      <w:r>
        <w:rPr>
          <w:rFonts w:ascii="Times New Roman"/>
          <w:b w:val="false"/>
          <w:i w:val="false"/>
          <w:color w:val="000000"/>
          <w:sz w:val="28"/>
        </w:rPr>
        <w:t>
      39. Отражающие ЭМП радиочастот экраны выполняются из металлических листов, сетки, проводящих пленок, ткани с микропроводом, металлизированных тканей на основе синтетических волокон или любых других материалов, имеющих высокую электропроводность. Экраны заземляются.</w:t>
      </w:r>
      <w:r>
        <w:br/>
      </w:r>
      <w:r>
        <w:rPr>
          <w:rFonts w:ascii="Times New Roman"/>
          <w:b w:val="false"/>
          <w:i w:val="false"/>
          <w:color w:val="000000"/>
          <w:sz w:val="28"/>
        </w:rPr>
        <w:t>
</w:t>
      </w:r>
      <w:r>
        <w:rPr>
          <w:rFonts w:ascii="Times New Roman"/>
          <w:b w:val="false"/>
          <w:i w:val="false"/>
          <w:color w:val="000000"/>
          <w:sz w:val="28"/>
        </w:rPr>
        <w:t>
      40. Лица, профессионально связанные с воздействием источников ЭМП РЭС, проходят обязательные медицинские осмотры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обязательных медицинских осмотров,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41. Ограничивается доступ людей, несвязанных непосредственно с обслуживанием антенного оборудования РЭС, к месту установки передающих антенн.</w:t>
      </w:r>
      <w:r>
        <w:br/>
      </w:r>
      <w:r>
        <w:rPr>
          <w:rFonts w:ascii="Times New Roman"/>
          <w:b w:val="false"/>
          <w:i w:val="false"/>
          <w:color w:val="000000"/>
          <w:sz w:val="28"/>
        </w:rPr>
        <w:t>
</w:t>
      </w:r>
      <w:r>
        <w:rPr>
          <w:rFonts w:ascii="Times New Roman"/>
          <w:b w:val="false"/>
          <w:i w:val="false"/>
          <w:color w:val="000000"/>
          <w:sz w:val="28"/>
        </w:rPr>
        <w:t xml:space="preserve">
      42. Территория (участки крыш), на которых уровень ЭМП превышает ПДУ для населения и на которые возможен доступ лиц, несвязанных непосредственно с обслуживанием РТО, ограждается и обозначается предупредительными знаками. При проведении, каких-либо работ на этих участках передатчики РТО отключаются. </w:t>
      </w:r>
      <w:r>
        <w:br/>
      </w:r>
      <w:r>
        <w:rPr>
          <w:rFonts w:ascii="Times New Roman"/>
          <w:b w:val="false"/>
          <w:i w:val="false"/>
          <w:color w:val="000000"/>
          <w:sz w:val="28"/>
        </w:rPr>
        <w:t>
</w:t>
      </w:r>
      <w:r>
        <w:rPr>
          <w:rFonts w:ascii="Times New Roman"/>
          <w:b w:val="false"/>
          <w:i w:val="false"/>
          <w:color w:val="000000"/>
          <w:sz w:val="28"/>
        </w:rPr>
        <w:t>
      43. Не допускается эксплуатация РЭС, для которых уровни ЭМП на прилегающей территории жилой застройки не соответствуют требованиям настоящих Санитарных правил.</w:t>
      </w:r>
    </w:p>
    <w:bookmarkEnd w:id="12"/>
    <w:bookmarkStart w:name="z91"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требования к радиотехническим</w:t>
      </w:r>
      <w:r>
        <w:br/>
      </w:r>
      <w:r>
        <w:rPr>
          <w:rFonts w:ascii="Times New Roman"/>
          <w:b w:val="false"/>
          <w:i w:val="false"/>
          <w:color w:val="000000"/>
          <w:sz w:val="28"/>
        </w:rPr>
        <w:t xml:space="preserve">
объектам"         </w:t>
      </w:r>
    </w:p>
    <w:bookmarkEnd w:id="13"/>
    <w:bookmarkStart w:name="z92" w:id="14"/>
    <w:p>
      <w:pPr>
        <w:spacing w:after="0"/>
        <w:ind w:left="0"/>
        <w:jc w:val="both"/>
      </w:pPr>
      <w:r>
        <w:rPr>
          <w:rFonts w:ascii="Times New Roman"/>
          <w:b w:val="false"/>
          <w:i w:val="false"/>
          <w:color w:val="000000"/>
          <w:sz w:val="28"/>
        </w:rPr>
        <w:t>
</w:t>
      </w:r>
      <w:r>
        <w:rPr>
          <w:rFonts w:ascii="Times New Roman"/>
          <w:b/>
          <w:i w:val="false"/>
          <w:color w:val="000000"/>
          <w:sz w:val="28"/>
        </w:rPr>
        <w:t>             Технические характеристики антенны (антенн)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9644"/>
        <w:gridCol w:w="2906"/>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передающего радиоэлектронного средства в Вт</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частота (диапазон частот) на передачу</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усиления антенны (дБ/раз)</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 мощности в антенно-фидерном тракте на</w:t>
            </w:r>
            <w:r>
              <w:br/>
            </w:r>
            <w:r>
              <w:rPr>
                <w:rFonts w:ascii="Times New Roman"/>
                <w:b w:val="false"/>
                <w:i w:val="false"/>
                <w:color w:val="000000"/>
                <w:sz w:val="20"/>
              </w:rPr>
              <w:t>
передачу (дБ/раз) (если данных нет, то указать</w:t>
            </w:r>
            <w:r>
              <w:br/>
            </w:r>
            <w:r>
              <w:rPr>
                <w:rFonts w:ascii="Times New Roman"/>
                <w:b w:val="false"/>
                <w:i w:val="false"/>
                <w:color w:val="000000"/>
                <w:sz w:val="20"/>
              </w:rPr>
              <w:t>
длину фидера (кабеля от передатчика до антенны),</w:t>
            </w:r>
            <w:r>
              <w:br/>
            </w:r>
            <w:r>
              <w:rPr>
                <w:rFonts w:ascii="Times New Roman"/>
                <w:b w:val="false"/>
                <w:i w:val="false"/>
                <w:color w:val="000000"/>
                <w:sz w:val="20"/>
              </w:rPr>
              <w:t>
м; и потери мощности в фидере, (дБ/метр)</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Вертикальный размер или диаметр антенны</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места основного лепестка в град.о, (т.е.</w:t>
            </w:r>
            <w:r>
              <w:br/>
            </w:r>
            <w:r>
              <w:rPr>
                <w:rFonts w:ascii="Times New Roman"/>
                <w:b w:val="false"/>
                <w:i w:val="false"/>
                <w:color w:val="000000"/>
                <w:sz w:val="20"/>
              </w:rPr>
              <w:t>
угол направления максимального излучения антенны</w:t>
            </w:r>
            <w:r>
              <w:br/>
            </w:r>
            <w:r>
              <w:rPr>
                <w:rFonts w:ascii="Times New Roman"/>
                <w:b w:val="false"/>
                <w:i w:val="false"/>
                <w:color w:val="000000"/>
                <w:sz w:val="20"/>
              </w:rPr>
              <w:t>
в вертикальной плоскости)</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Азимут максимума излучения (для антенн кругового</w:t>
            </w:r>
            <w:r>
              <w:br/>
            </w:r>
            <w:r>
              <w:rPr>
                <w:rFonts w:ascii="Times New Roman"/>
                <w:b w:val="false"/>
                <w:i w:val="false"/>
                <w:color w:val="000000"/>
                <w:sz w:val="20"/>
              </w:rPr>
              <w:t>
действия 0-360</w:t>
            </w:r>
            <w:r>
              <w:rPr>
                <w:rFonts w:ascii="Times New Roman"/>
                <w:b w:val="false"/>
                <w:i w:val="false"/>
                <w:color w:val="000000"/>
                <w:vertAlign w:val="superscript"/>
              </w:rPr>
              <w:t>о</w:t>
            </w:r>
            <w:r>
              <w:rPr>
                <w:rFonts w:ascii="Times New Roman"/>
                <w:b w:val="false"/>
                <w:i w:val="false"/>
                <w:color w:val="000000"/>
                <w:sz w:val="20"/>
              </w:rPr>
              <w:t>)</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работы РТО на излучение (постоянный,</w:t>
            </w:r>
            <w:r>
              <w:br/>
            </w:r>
            <w:r>
              <w:rPr>
                <w:rFonts w:ascii="Times New Roman"/>
                <w:b w:val="false"/>
                <w:i w:val="false"/>
                <w:color w:val="000000"/>
                <w:sz w:val="20"/>
              </w:rPr>
              <w:t>
повторно-кратковременный, импульсный)</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 тип размещения антенны (например, "на</w:t>
            </w:r>
            <w:r>
              <w:br/>
            </w:r>
            <w:r>
              <w:rPr>
                <w:rFonts w:ascii="Times New Roman"/>
                <w:b w:val="false"/>
                <w:i w:val="false"/>
                <w:color w:val="000000"/>
                <w:sz w:val="20"/>
              </w:rPr>
              <w:t>
крыше АБК", "на кронштейне на стене технического</w:t>
            </w:r>
            <w:r>
              <w:br/>
            </w:r>
            <w:r>
              <w:rPr>
                <w:rFonts w:ascii="Times New Roman"/>
                <w:b w:val="false"/>
                <w:i w:val="false"/>
                <w:color w:val="000000"/>
                <w:sz w:val="20"/>
              </w:rPr>
              <w:t>
этажа" и т.п.)</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подвеса антенны в метрах, м:</w:t>
            </w:r>
            <w:r>
              <w:br/>
            </w:r>
            <w:r>
              <w:rPr>
                <w:rFonts w:ascii="Times New Roman"/>
                <w:b w:val="false"/>
                <w:i w:val="false"/>
                <w:color w:val="000000"/>
                <w:sz w:val="20"/>
              </w:rPr>
              <w:t>
- от уровня земли (указывается высота размещения</w:t>
            </w:r>
            <w:r>
              <w:br/>
            </w:r>
            <w:r>
              <w:rPr>
                <w:rFonts w:ascii="Times New Roman"/>
                <w:b w:val="false"/>
                <w:i w:val="false"/>
                <w:color w:val="000000"/>
                <w:sz w:val="20"/>
              </w:rPr>
              <w:t>
фазового центра каждой антенны)</w:t>
            </w:r>
            <w:r>
              <w:br/>
            </w:r>
            <w:r>
              <w:rPr>
                <w:rFonts w:ascii="Times New Roman"/>
                <w:b w:val="false"/>
                <w:i w:val="false"/>
                <w:color w:val="000000"/>
                <w:sz w:val="20"/>
              </w:rPr>
              <w:t>
- от уровня крыши (указывается от крыши, где</w:t>
            </w:r>
            <w:r>
              <w:br/>
            </w:r>
            <w:r>
              <w:rPr>
                <w:rFonts w:ascii="Times New Roman"/>
                <w:b w:val="false"/>
                <w:i w:val="false"/>
                <w:color w:val="000000"/>
                <w:sz w:val="20"/>
              </w:rPr>
              <w:t>
установлена антенна, или от уровня крыши</w:t>
            </w:r>
            <w:r>
              <w:br/>
            </w:r>
            <w:r>
              <w:rPr>
                <w:rFonts w:ascii="Times New Roman"/>
                <w:b w:val="false"/>
                <w:i w:val="false"/>
                <w:color w:val="000000"/>
                <w:sz w:val="20"/>
              </w:rPr>
              <w:t>
ближайшего наиболее высокого здания)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горизонтальное расстояние от антенны</w:t>
            </w:r>
            <w:r>
              <w:br/>
            </w:r>
            <w:r>
              <w:rPr>
                <w:rFonts w:ascii="Times New Roman"/>
                <w:b w:val="false"/>
                <w:i w:val="false"/>
                <w:color w:val="000000"/>
                <w:sz w:val="20"/>
              </w:rPr>
              <w:t>
до края крыши (здания), м (т.е., крыши, где</w:t>
            </w:r>
            <w:r>
              <w:br/>
            </w:r>
            <w:r>
              <w:rPr>
                <w:rFonts w:ascii="Times New Roman"/>
                <w:b w:val="false"/>
                <w:i w:val="false"/>
                <w:color w:val="000000"/>
                <w:sz w:val="20"/>
              </w:rPr>
              <w:t>
установлена антенна, или до ближайшего наиболее</w:t>
            </w:r>
            <w:r>
              <w:br/>
            </w:r>
            <w:r>
              <w:rPr>
                <w:rFonts w:ascii="Times New Roman"/>
                <w:b w:val="false"/>
                <w:i w:val="false"/>
                <w:color w:val="000000"/>
                <w:sz w:val="20"/>
              </w:rPr>
              <w:t>
высокого здания)</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 для станций спутниковой связи:</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Искусственный спутник Земли, точка стояния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Географические координаты места размещения РТО</w:t>
            </w:r>
            <w:r>
              <w:br/>
            </w:r>
            <w:r>
              <w:rPr>
                <w:rFonts w:ascii="Times New Roman"/>
                <w:b w:val="false"/>
                <w:i w:val="false"/>
                <w:color w:val="000000"/>
                <w:sz w:val="20"/>
              </w:rPr>
              <w:t>
(РЭС)</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широта и</w:t>
            </w:r>
            <w:r>
              <w:br/>
            </w:r>
            <w:r>
              <w:rPr>
                <w:rFonts w:ascii="Times New Roman"/>
                <w:b w:val="false"/>
                <w:i w:val="false"/>
                <w:color w:val="000000"/>
                <w:sz w:val="20"/>
              </w:rPr>
              <w:t>
долгота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 для радиолокаторов</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Импульсная мощность передатчика, Вт или кВт</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повторения импульсов, Гц</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Длительность импульса, сек.</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вращения антенны, об/мин.</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вращающихся</w:t>
            </w:r>
            <w:r>
              <w:br/>
            </w:r>
            <w:r>
              <w:rPr>
                <w:rFonts w:ascii="Times New Roman"/>
                <w:b w:val="false"/>
                <w:i w:val="false"/>
                <w:color w:val="000000"/>
                <w:sz w:val="20"/>
              </w:rPr>
              <w:t>
и сканирующих</w:t>
            </w:r>
            <w:r>
              <w:br/>
            </w:r>
            <w:r>
              <w:rPr>
                <w:rFonts w:ascii="Times New Roman"/>
                <w:b w:val="false"/>
                <w:i w:val="false"/>
                <w:color w:val="000000"/>
                <w:sz w:val="20"/>
              </w:rPr>
              <w:t>
антенн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вращения, сек.</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сканирования, о</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сканирующих</w:t>
            </w:r>
            <w:r>
              <w:br/>
            </w:r>
            <w:r>
              <w:rPr>
                <w:rFonts w:ascii="Times New Roman"/>
                <w:b w:val="false"/>
                <w:i w:val="false"/>
                <w:color w:val="000000"/>
                <w:sz w:val="20"/>
              </w:rPr>
              <w:t>
антенн</w:t>
            </w:r>
          </w:p>
        </w:tc>
      </w:tr>
    </w:tbl>
    <w:bookmarkStart w:name="z93" w:id="15"/>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Данные раздела 2 указать для каждой из передающих антенн /передатчиков/.</w:t>
      </w:r>
      <w:r>
        <w:br/>
      </w:r>
      <w:r>
        <w:rPr>
          <w:rFonts w:ascii="Times New Roman"/>
          <w:b w:val="false"/>
          <w:i w:val="false"/>
          <w:color w:val="000000"/>
          <w:sz w:val="28"/>
        </w:rPr>
        <w:t>
</w:t>
      </w:r>
      <w:r>
        <w:rPr>
          <w:rFonts w:ascii="Times New Roman"/>
          <w:b w:val="false"/>
          <w:i w:val="false"/>
          <w:color w:val="000000"/>
          <w:sz w:val="28"/>
        </w:rPr>
        <w:t>
      2. Могут быть внесены дополнительные данные, необходимые для оценки влияния некоторых РЭС.</w:t>
      </w:r>
      <w:r>
        <w:br/>
      </w:r>
      <w:r>
        <w:rPr>
          <w:rFonts w:ascii="Times New Roman"/>
          <w:b w:val="false"/>
          <w:i w:val="false"/>
          <w:color w:val="000000"/>
          <w:sz w:val="28"/>
        </w:rPr>
        <w:t>
</w:t>
      </w:r>
      <w:r>
        <w:rPr>
          <w:rFonts w:ascii="Times New Roman"/>
          <w:b w:val="false"/>
          <w:i w:val="false"/>
          <w:color w:val="000000"/>
          <w:sz w:val="28"/>
        </w:rPr>
        <w:t>
      3. Диаграммы излучения антенн в вертикальной и горизонтальной плоскостях.</w:t>
      </w:r>
      <w:r>
        <w:br/>
      </w:r>
      <w:r>
        <w:rPr>
          <w:rFonts w:ascii="Times New Roman"/>
          <w:b w:val="false"/>
          <w:i w:val="false"/>
          <w:color w:val="000000"/>
          <w:sz w:val="28"/>
        </w:rPr>
        <w:t>
</w:t>
      </w:r>
      <w:r>
        <w:rPr>
          <w:rFonts w:ascii="Times New Roman"/>
          <w:b w:val="false"/>
          <w:i w:val="false"/>
          <w:color w:val="000000"/>
          <w:sz w:val="28"/>
        </w:rPr>
        <w:t>
      Примечание: вместо диаграмм могут быть указания (ссылки) на расчетные формулы, описывающие диаграммы; для антенн равномерного кругового излучения диаграмма излучения в горизонтальной плоскости не требуется.</w:t>
      </w:r>
      <w:r>
        <w:br/>
      </w:r>
      <w:r>
        <w:rPr>
          <w:rFonts w:ascii="Times New Roman"/>
          <w:b w:val="false"/>
          <w:i w:val="false"/>
          <w:color w:val="000000"/>
          <w:sz w:val="28"/>
        </w:rPr>
        <w:t>
</w:t>
      </w:r>
      <w:r>
        <w:rPr>
          <w:rFonts w:ascii="Times New Roman"/>
          <w:b w:val="false"/>
          <w:i w:val="false"/>
          <w:color w:val="000000"/>
          <w:sz w:val="28"/>
        </w:rPr>
        <w:t>
      4. Ситуационный план прилегающей территории.</w:t>
      </w:r>
      <w:r>
        <w:br/>
      </w:r>
      <w:r>
        <w:rPr>
          <w:rFonts w:ascii="Times New Roman"/>
          <w:b w:val="false"/>
          <w:i w:val="false"/>
          <w:color w:val="000000"/>
          <w:sz w:val="28"/>
        </w:rPr>
        <w:t>
</w:t>
      </w:r>
      <w:r>
        <w:rPr>
          <w:rFonts w:ascii="Times New Roman"/>
          <w:b w:val="false"/>
          <w:i w:val="false"/>
          <w:color w:val="000000"/>
          <w:sz w:val="28"/>
        </w:rPr>
        <w:t>
      Примечание: в масштабе 1:500 - 1:2000 с указанием места размещения антенн, этажности застройки, границ санитарно-защитной зоны (далее - СЗЗ) и зоны ограничения застройки (далее - ЗОЗ) (при необходимости) и привязкой к улицам, магистралям или другим известным ориентирам.</w:t>
      </w:r>
      <w:r>
        <w:br/>
      </w:r>
      <w:r>
        <w:rPr>
          <w:rFonts w:ascii="Times New Roman"/>
          <w:b w:val="false"/>
          <w:i w:val="false"/>
          <w:color w:val="000000"/>
          <w:sz w:val="28"/>
        </w:rPr>
        <w:t>
</w:t>
      </w:r>
      <w:r>
        <w:rPr>
          <w:rFonts w:ascii="Times New Roman"/>
          <w:b w:val="false"/>
          <w:i w:val="false"/>
          <w:color w:val="000000"/>
          <w:sz w:val="28"/>
        </w:rPr>
        <w:t>
      5. Схема размещения антенн в вертикальной плоскости.</w:t>
      </w:r>
      <w:r>
        <w:br/>
      </w:r>
      <w:r>
        <w:rPr>
          <w:rFonts w:ascii="Times New Roman"/>
          <w:b w:val="false"/>
          <w:i w:val="false"/>
          <w:color w:val="000000"/>
          <w:sz w:val="28"/>
        </w:rPr>
        <w:t>
</w:t>
      </w:r>
      <w:r>
        <w:rPr>
          <w:rFonts w:ascii="Times New Roman"/>
          <w:b w:val="false"/>
          <w:i w:val="false"/>
          <w:color w:val="000000"/>
          <w:sz w:val="28"/>
        </w:rPr>
        <w:t>
      6. Фотоматериалы размещения РТО (РЭС) (рекомендуется).</w:t>
      </w:r>
      <w:r>
        <w:br/>
      </w:r>
      <w:r>
        <w:rPr>
          <w:rFonts w:ascii="Times New Roman"/>
          <w:b w:val="false"/>
          <w:i w:val="false"/>
          <w:color w:val="000000"/>
          <w:sz w:val="28"/>
        </w:rPr>
        <w:t>
</w:t>
      </w:r>
      <w:r>
        <w:rPr>
          <w:rFonts w:ascii="Times New Roman"/>
          <w:b w:val="false"/>
          <w:i w:val="false"/>
          <w:color w:val="000000"/>
          <w:sz w:val="28"/>
        </w:rPr>
        <w:t>
      7. Материалы расчета распределения уровней электромагнитного поля на прилегающей территории (границ биологически опасных зон от передающих антенн).</w:t>
      </w:r>
      <w:r>
        <w:br/>
      </w:r>
      <w:r>
        <w:rPr>
          <w:rFonts w:ascii="Times New Roman"/>
          <w:b w:val="false"/>
          <w:i w:val="false"/>
          <w:color w:val="000000"/>
          <w:sz w:val="28"/>
        </w:rPr>
        <w:t>
</w:t>
      </w:r>
      <w:r>
        <w:rPr>
          <w:rFonts w:ascii="Times New Roman"/>
          <w:b w:val="false"/>
          <w:i w:val="false"/>
          <w:color w:val="000000"/>
          <w:sz w:val="28"/>
        </w:rPr>
        <w:t>
      Примечание: в материалы расчетов должны входить: теоретическая (описательная) часть с формулами, непосредственно таблицы с расчетами и графиками (размеров биологически-опасной зоны, СЗЗ, ЗОЗ), ссылка на применяемые автоматизированные расчетные программы (при наличии), выводы об электромагнитной обстановке на прилегающей территории по результатам расчетов и предусмотренных мерах защиты (безопасности).</w:t>
      </w:r>
    </w:p>
    <w:bookmarkEnd w:id="15"/>
    <w:bookmarkStart w:name="z104"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требования к радиотехническим</w:t>
      </w:r>
      <w:r>
        <w:br/>
      </w:r>
      <w:r>
        <w:rPr>
          <w:rFonts w:ascii="Times New Roman"/>
          <w:b w:val="false"/>
          <w:i w:val="false"/>
          <w:color w:val="000000"/>
          <w:sz w:val="28"/>
        </w:rPr>
        <w:t xml:space="preserve">
объектам"         </w:t>
      </w:r>
    </w:p>
    <w:bookmarkEnd w:id="16"/>
    <w:bookmarkStart w:name="z105" w:id="17"/>
    <w:p>
      <w:pPr>
        <w:spacing w:after="0"/>
        <w:ind w:left="0"/>
        <w:jc w:val="both"/>
      </w:pPr>
      <w:r>
        <w:rPr>
          <w:rFonts w:ascii="Times New Roman"/>
          <w:b w:val="false"/>
          <w:i w:val="false"/>
          <w:color w:val="000000"/>
          <w:sz w:val="28"/>
        </w:rPr>
        <w:t>
</w:t>
      </w:r>
      <w:r>
        <w:rPr>
          <w:rFonts w:ascii="Times New Roman"/>
          <w:b/>
          <w:i w:val="false"/>
          <w:color w:val="000000"/>
          <w:sz w:val="28"/>
        </w:rPr>
        <w:t>      Предельно допустимые уровни электромагнитного поля на</w:t>
      </w:r>
      <w:r>
        <w:br/>
      </w:r>
      <w:r>
        <w:rPr>
          <w:rFonts w:ascii="Times New Roman"/>
          <w:b w:val="false"/>
          <w:i w:val="false"/>
          <w:color w:val="000000"/>
          <w:sz w:val="28"/>
        </w:rPr>
        <w:t>
</w:t>
      </w:r>
      <w:r>
        <w:rPr>
          <w:rFonts w:ascii="Times New Roman"/>
          <w:b/>
          <w:i w:val="false"/>
          <w:color w:val="000000"/>
          <w:sz w:val="28"/>
        </w:rPr>
        <w:t>      селитебной территории, в местах отдыха, внутри жилых,</w:t>
      </w:r>
      <w:r>
        <w:br/>
      </w:r>
      <w:r>
        <w:rPr>
          <w:rFonts w:ascii="Times New Roman"/>
          <w:b w:val="false"/>
          <w:i w:val="false"/>
          <w:color w:val="000000"/>
          <w:sz w:val="28"/>
        </w:rPr>
        <w:t>
</w:t>
      </w:r>
      <w:r>
        <w:rPr>
          <w:rFonts w:ascii="Times New Roman"/>
          <w:b/>
          <w:i w:val="false"/>
          <w:color w:val="000000"/>
          <w:sz w:val="28"/>
        </w:rPr>
        <w:t>           общественных и производственных помещений</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1410"/>
        <w:gridCol w:w="1154"/>
        <w:gridCol w:w="1281"/>
        <w:gridCol w:w="1538"/>
        <w:gridCol w:w="5255"/>
      </w:tblGrid>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w:t>
            </w:r>
            <w:r>
              <w:br/>
            </w:r>
            <w:r>
              <w:rPr>
                <w:rFonts w:ascii="Times New Roman"/>
                <w:b w:val="false"/>
                <w:i w:val="false"/>
                <w:color w:val="000000"/>
                <w:sz w:val="20"/>
              </w:rPr>
              <w:t>
частот</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r>
              <w:br/>
            </w:r>
            <w:r>
              <w:rPr>
                <w:rFonts w:ascii="Times New Roman"/>
                <w:b w:val="false"/>
                <w:i w:val="false"/>
                <w:color w:val="000000"/>
                <w:sz w:val="20"/>
              </w:rPr>
              <w:t>
300 кГц</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r>
              <w:br/>
            </w:r>
            <w:r>
              <w:rPr>
                <w:rFonts w:ascii="Times New Roman"/>
                <w:b w:val="false"/>
                <w:i w:val="false"/>
                <w:color w:val="000000"/>
                <w:sz w:val="20"/>
              </w:rPr>
              <w:t>
3 МГц</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r>
              <w:br/>
            </w:r>
            <w:r>
              <w:rPr>
                <w:rFonts w:ascii="Times New Roman"/>
                <w:b w:val="false"/>
                <w:i w:val="false"/>
                <w:color w:val="000000"/>
                <w:sz w:val="20"/>
              </w:rPr>
              <w:t>
30 МГц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r>
              <w:br/>
            </w:r>
            <w:r>
              <w:rPr>
                <w:rFonts w:ascii="Times New Roman"/>
                <w:b w:val="false"/>
                <w:i w:val="false"/>
                <w:color w:val="000000"/>
                <w:sz w:val="20"/>
              </w:rPr>
              <w:t xml:space="preserve">
300 МГц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0,3 - 300 ГГц</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Нормируемый</w:t>
            </w:r>
            <w:r>
              <w:br/>
            </w:r>
            <w:r>
              <w:rPr>
                <w:rFonts w:ascii="Times New Roman"/>
                <w:b w:val="false"/>
                <w:i w:val="false"/>
                <w:color w:val="000000"/>
                <w:sz w:val="20"/>
              </w:rPr>
              <w:t>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Напряженность</w:t>
            </w:r>
            <w:r>
              <w:br/>
            </w:r>
            <w:r>
              <w:rPr>
                <w:rFonts w:ascii="Times New Roman"/>
                <w:b w:val="false"/>
                <w:i w:val="false"/>
                <w:color w:val="000000"/>
                <w:sz w:val="20"/>
              </w:rPr>
              <w:t>
электрического поля, Е</w:t>
            </w:r>
            <w:r>
              <w:br/>
            </w:r>
            <w:r>
              <w:rPr>
                <w:rFonts w:ascii="Times New Roman"/>
                <w:b w:val="false"/>
                <w:i w:val="false"/>
                <w:color w:val="000000"/>
                <w:sz w:val="20"/>
              </w:rPr>
              <w:t>
(Вольт/метр. В/м)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 потока энергии,</w:t>
            </w:r>
            <w:r>
              <w:br/>
            </w:r>
            <w:r>
              <w:rPr>
                <w:rFonts w:ascii="Times New Roman"/>
                <w:b w:val="false"/>
                <w:i w:val="false"/>
                <w:color w:val="000000"/>
                <w:sz w:val="20"/>
              </w:rPr>
              <w:t>
ППЭ (микроВатт на квадратный</w:t>
            </w:r>
            <w:r>
              <w:br/>
            </w:r>
            <w:r>
              <w:rPr>
                <w:rFonts w:ascii="Times New Roman"/>
                <w:b w:val="false"/>
                <w:i w:val="false"/>
                <w:color w:val="000000"/>
                <w:sz w:val="20"/>
              </w:rPr>
              <w:t>
сантиметр, мкВт/см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Предельно</w:t>
            </w:r>
            <w:r>
              <w:br/>
            </w:r>
            <w:r>
              <w:rPr>
                <w:rFonts w:ascii="Times New Roman"/>
                <w:b w:val="false"/>
                <w:i w:val="false"/>
                <w:color w:val="000000"/>
                <w:sz w:val="20"/>
              </w:rPr>
              <w:t>
допустимые</w:t>
            </w:r>
            <w:r>
              <w:br/>
            </w:r>
            <w:r>
              <w:rPr>
                <w:rFonts w:ascii="Times New Roman"/>
                <w:b w:val="false"/>
                <w:i w:val="false"/>
                <w:color w:val="000000"/>
                <w:sz w:val="20"/>
              </w:rPr>
              <w:t>
уровни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25*</w:t>
            </w:r>
          </w:p>
        </w:tc>
      </w:tr>
    </w:tbl>
    <w:bookmarkStart w:name="z106" w:id="18"/>
    <w:p>
      <w:pPr>
        <w:spacing w:after="0"/>
        <w:ind w:left="0"/>
        <w:jc w:val="both"/>
      </w:pPr>
      <w:r>
        <w:rPr>
          <w:rFonts w:ascii="Times New Roman"/>
          <w:b w:val="false"/>
          <w:i w:val="false"/>
          <w:color w:val="000000"/>
          <w:sz w:val="28"/>
        </w:rPr>
        <w:t>
      Примечание: * - для случаев облучения от вращающихся и сканирующих антенн.</w:t>
      </w:r>
    </w:p>
    <w:bookmarkEnd w:id="18"/>
    <w:bookmarkStart w:name="z107" w:id="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"Санитарно-эпидемиологические</w:t>
      </w:r>
      <w:r>
        <w:br/>
      </w:r>
      <w:r>
        <w:rPr>
          <w:rFonts w:ascii="Times New Roman"/>
          <w:b w:val="false"/>
          <w:i w:val="false"/>
          <w:color w:val="000000"/>
          <w:sz w:val="28"/>
        </w:rPr>
        <w:t>
требования к радиотехническим</w:t>
      </w:r>
      <w:r>
        <w:br/>
      </w:r>
      <w:r>
        <w:rPr>
          <w:rFonts w:ascii="Times New Roman"/>
          <w:b w:val="false"/>
          <w:i w:val="false"/>
          <w:color w:val="000000"/>
          <w:sz w:val="28"/>
        </w:rPr>
        <w:t xml:space="preserve">
объектам"         </w:t>
      </w:r>
    </w:p>
    <w:bookmarkEnd w:id="19"/>
    <w:bookmarkStart w:name="z108" w:id="20"/>
    <w:p>
      <w:pPr>
        <w:spacing w:after="0"/>
        <w:ind w:left="0"/>
        <w:jc w:val="left"/>
      </w:pPr>
      <w:r>
        <w:rPr>
          <w:rFonts w:ascii="Times New Roman"/>
          <w:b/>
          <w:i w:val="false"/>
          <w:color w:val="000000"/>
        </w:rPr>
        <w:t xml:space="preserve"> 
Энергетическая нагрузка электрического поля, магнитного поля,</w:t>
      </w:r>
      <w:r>
        <w:br/>
      </w:r>
      <w:r>
        <w:rPr>
          <w:rFonts w:ascii="Times New Roman"/>
          <w:b/>
          <w:i w:val="false"/>
          <w:color w:val="000000"/>
        </w:rPr>
        <w:t>
плотности потока электромагнитной энергии</w:t>
      </w:r>
    </w:p>
    <w:bookmarkEnd w:id="20"/>
    <w:bookmarkStart w:name="z109" w:id="21"/>
    <w:p>
      <w:pPr>
        <w:spacing w:after="0"/>
        <w:ind w:left="0"/>
        <w:jc w:val="both"/>
      </w:pPr>
      <w:r>
        <w:rPr>
          <w:rFonts w:ascii="Times New Roman"/>
          <w:b w:val="false"/>
          <w:i w:val="false"/>
          <w:color w:val="000000"/>
          <w:sz w:val="28"/>
        </w:rPr>
        <w:t>
      Энергетическая нагрузка в диапазоне частот 30 килогерц (далее - кГц) - 300 МегаГерц (далее - МГц) рассчитывается по формулам:</w:t>
      </w:r>
    </w:p>
    <w:bookmarkEnd w:id="21"/>
    <w:p>
      <w:pPr>
        <w:spacing w:after="0"/>
        <w:ind w:left="0"/>
        <w:jc w:val="both"/>
      </w:pPr>
      <w:r>
        <w:rPr>
          <w:rFonts w:ascii="Times New Roman"/>
          <w:b w:val="false"/>
          <w:i w:val="false"/>
          <w:color w:val="000000"/>
          <w:sz w:val="28"/>
        </w:rPr>
        <w:t>                      ЭН</w:t>
      </w:r>
      <w:r>
        <w:rPr>
          <w:rFonts w:ascii="Times New Roman"/>
          <w:b w:val="false"/>
          <w:i w:val="false"/>
          <w:color w:val="000000"/>
          <w:vertAlign w:val="subscript"/>
        </w:rPr>
        <w:t>Е</w:t>
      </w:r>
      <w:r>
        <w:rPr>
          <w:rFonts w:ascii="Times New Roman"/>
          <w:b w:val="false"/>
          <w:i w:val="false"/>
          <w:color w:val="000000"/>
          <w:sz w:val="28"/>
        </w:rPr>
        <w:t xml:space="preserve"> = Е</w:t>
      </w:r>
      <w:r>
        <w:rPr>
          <w:rFonts w:ascii="Times New Roman"/>
          <w:b w:val="false"/>
          <w:i w:val="false"/>
          <w:color w:val="000000"/>
          <w:vertAlign w:val="superscript"/>
        </w:rPr>
        <w:t>2</w:t>
      </w:r>
      <w:r>
        <w:rPr>
          <w:rFonts w:ascii="Times New Roman"/>
          <w:b w:val="false"/>
          <w:i w:val="false"/>
          <w:color w:val="000000"/>
          <w:sz w:val="28"/>
        </w:rPr>
        <w:t>*Т; ЭН</w:t>
      </w:r>
      <w:r>
        <w:rPr>
          <w:rFonts w:ascii="Times New Roman"/>
          <w:b w:val="false"/>
          <w:i w:val="false"/>
          <w:color w:val="000000"/>
          <w:vertAlign w:val="subscript"/>
        </w:rPr>
        <w:t>Н</w:t>
      </w:r>
      <w:r>
        <w:rPr>
          <w:rFonts w:ascii="Times New Roman"/>
          <w:b w:val="false"/>
          <w:i w:val="false"/>
          <w:color w:val="000000"/>
          <w:sz w:val="28"/>
        </w:rPr>
        <w:t xml:space="preserve"> = Н</w:t>
      </w:r>
      <w:r>
        <w:rPr>
          <w:rFonts w:ascii="Times New Roman"/>
          <w:b w:val="false"/>
          <w:i w:val="false"/>
          <w:color w:val="000000"/>
          <w:vertAlign w:val="superscript"/>
        </w:rPr>
        <w:t>2</w:t>
      </w:r>
      <w:r>
        <w:rPr>
          <w:rFonts w:ascii="Times New Roman"/>
          <w:b w:val="false"/>
          <w:i w:val="false"/>
          <w:color w:val="000000"/>
          <w:sz w:val="28"/>
        </w:rPr>
        <w:t>* Т (1)</w:t>
      </w:r>
    </w:p>
    <w:bookmarkStart w:name="z110" w:id="22"/>
    <w:p>
      <w:pPr>
        <w:spacing w:after="0"/>
        <w:ind w:left="0"/>
        <w:jc w:val="both"/>
      </w:pPr>
      <w:r>
        <w:rPr>
          <w:rFonts w:ascii="Times New Roman"/>
          <w:b w:val="false"/>
          <w:i w:val="false"/>
          <w:color w:val="000000"/>
          <w:sz w:val="28"/>
        </w:rPr>
        <w:t>
      где: Е - напряженность электрического поля, Вольт/метр (далее - В/м); Н - напряженность магнитного поля, Ампер/метр (далее - А/м); Т - время воздействия в течение рабочей смены, час.</w:t>
      </w:r>
      <w:r>
        <w:br/>
      </w:r>
      <w:r>
        <w:rPr>
          <w:rFonts w:ascii="Times New Roman"/>
          <w:b w:val="false"/>
          <w:i w:val="false"/>
          <w:color w:val="000000"/>
          <w:sz w:val="28"/>
        </w:rPr>
        <w:t>
</w:t>
      </w:r>
      <w:r>
        <w:rPr>
          <w:rFonts w:ascii="Times New Roman"/>
          <w:b w:val="false"/>
          <w:i w:val="false"/>
          <w:color w:val="000000"/>
          <w:sz w:val="28"/>
        </w:rPr>
        <w:t>
      Одновременное воздействие электрического и магнитного полей в диапазонах частот 0,03-3 МГц и 30-50 МГц следует считать допустимым при условии</w:t>
      </w:r>
    </w:p>
    <w:bookmarkEnd w:id="22"/>
    <w:p>
      <w:pPr>
        <w:spacing w:after="0"/>
        <w:ind w:left="0"/>
        <w:jc w:val="both"/>
      </w:pPr>
      <w:r>
        <w:rPr>
          <w:rFonts w:ascii="Times New Roman"/>
          <w:b w:val="false"/>
          <w:i w:val="false"/>
          <w:color w:val="000000"/>
          <w:sz w:val="28"/>
        </w:rPr>
        <w:t>                   (ЭН</w:t>
      </w:r>
      <w:r>
        <w:rPr>
          <w:rFonts w:ascii="Times New Roman"/>
          <w:b w:val="false"/>
          <w:i w:val="false"/>
          <w:color w:val="000000"/>
          <w:vertAlign w:val="subscript"/>
        </w:rPr>
        <w:t>Е</w:t>
      </w:r>
      <w:r>
        <w:rPr>
          <w:rFonts w:ascii="Times New Roman"/>
          <w:b w:val="false"/>
          <w:i w:val="false"/>
          <w:color w:val="000000"/>
          <w:sz w:val="28"/>
        </w:rPr>
        <w:t>/ЭН</w:t>
      </w:r>
      <w:r>
        <w:rPr>
          <w:rFonts w:ascii="Times New Roman"/>
          <w:b w:val="false"/>
          <w:i w:val="false"/>
          <w:color w:val="000000"/>
          <w:vertAlign w:val="subscript"/>
        </w:rPr>
        <w:t>Епд</w:t>
      </w:r>
      <w:r>
        <w:rPr>
          <w:rFonts w:ascii="Times New Roman"/>
          <w:b w:val="false"/>
          <w:i w:val="false"/>
          <w:color w:val="000000"/>
          <w:sz w:val="28"/>
        </w:rPr>
        <w:t>) + (ЭНн/ЭН</w:t>
      </w:r>
      <w:r>
        <w:rPr>
          <w:rFonts w:ascii="Times New Roman"/>
          <w:b w:val="false"/>
          <w:i w:val="false"/>
          <w:color w:val="000000"/>
          <w:vertAlign w:val="subscript"/>
        </w:rPr>
        <w:t>Нпд</w:t>
      </w:r>
      <w:r>
        <w:rPr>
          <w:rFonts w:ascii="Times New Roman"/>
          <w:b w:val="false"/>
          <w:i w:val="false"/>
          <w:color w:val="000000"/>
          <w:sz w:val="28"/>
        </w:rPr>
        <w:t>) &lt; 1 (2)</w:t>
      </w:r>
    </w:p>
    <w:bookmarkStart w:name="z112" w:id="23"/>
    <w:p>
      <w:pPr>
        <w:spacing w:after="0"/>
        <w:ind w:left="0"/>
        <w:jc w:val="both"/>
      </w:pPr>
      <w:r>
        <w:rPr>
          <w:rFonts w:ascii="Times New Roman"/>
          <w:b w:val="false"/>
          <w:i w:val="false"/>
          <w:color w:val="000000"/>
          <w:sz w:val="28"/>
        </w:rPr>
        <w:t>
      где: ЭН</w:t>
      </w:r>
      <w:r>
        <w:rPr>
          <w:rFonts w:ascii="Times New Roman"/>
          <w:b w:val="false"/>
          <w:i w:val="false"/>
          <w:color w:val="000000"/>
          <w:vertAlign w:val="subscript"/>
        </w:rPr>
        <w:t>Епд</w:t>
      </w:r>
      <w:r>
        <w:rPr>
          <w:rFonts w:ascii="Times New Roman"/>
          <w:b w:val="false"/>
          <w:i w:val="false"/>
          <w:color w:val="000000"/>
          <w:sz w:val="28"/>
        </w:rPr>
        <w:t>, ЭН</w:t>
      </w:r>
      <w:r>
        <w:rPr>
          <w:rFonts w:ascii="Times New Roman"/>
          <w:b w:val="false"/>
          <w:i w:val="false"/>
          <w:color w:val="000000"/>
          <w:vertAlign w:val="subscript"/>
        </w:rPr>
        <w:t>Нпд</w:t>
      </w:r>
      <w:r>
        <w:rPr>
          <w:rFonts w:ascii="Times New Roman"/>
          <w:b w:val="false"/>
          <w:i w:val="false"/>
          <w:color w:val="000000"/>
          <w:sz w:val="28"/>
        </w:rPr>
        <w:t xml:space="preserve"> - предельно допустимые значения энергетической нагрузки (принимаются по таблице приложения).</w:t>
      </w:r>
      <w:r>
        <w:br/>
      </w:r>
      <w:r>
        <w:rPr>
          <w:rFonts w:ascii="Times New Roman"/>
          <w:b w:val="false"/>
          <w:i w:val="false"/>
          <w:color w:val="000000"/>
          <w:sz w:val="28"/>
        </w:rPr>
        <w:t>
</w:t>
      </w:r>
      <w:r>
        <w:rPr>
          <w:rFonts w:ascii="Times New Roman"/>
          <w:b w:val="false"/>
          <w:i w:val="false"/>
          <w:color w:val="000000"/>
          <w:sz w:val="28"/>
        </w:rPr>
        <w:t>
      Энергетическая нагрузка в диапазоне частот 300 МГц-300 ГигаГерц (далее - ГГц) рассчитывается по формуле:</w:t>
      </w:r>
    </w:p>
    <w:bookmarkEnd w:id="23"/>
    <w:p>
      <w:pPr>
        <w:spacing w:after="0"/>
        <w:ind w:left="0"/>
        <w:jc w:val="both"/>
      </w:pPr>
      <w:r>
        <w:rPr>
          <w:rFonts w:ascii="Times New Roman"/>
          <w:b w:val="false"/>
          <w:i w:val="false"/>
          <w:color w:val="000000"/>
          <w:sz w:val="28"/>
        </w:rPr>
        <w:t>                          ЭНппэ = ППЭ * Т (3)</w:t>
      </w:r>
    </w:p>
    <w:bookmarkStart w:name="z114" w:id="24"/>
    <w:p>
      <w:pPr>
        <w:spacing w:after="0"/>
        <w:ind w:left="0"/>
        <w:jc w:val="both"/>
      </w:pPr>
      <w:r>
        <w:rPr>
          <w:rFonts w:ascii="Times New Roman"/>
          <w:b w:val="false"/>
          <w:i w:val="false"/>
          <w:color w:val="000000"/>
          <w:sz w:val="28"/>
        </w:rPr>
        <w:t>
      где: ППЭ - поверхностная плотность потока энергии поля, микроВатт на квадратный сантиметр (далее - Ватт/см2); Т - время воздействия в течение рабочей смены, час.</w:t>
      </w:r>
      <w:r>
        <w:br/>
      </w:r>
      <w:r>
        <w:rPr>
          <w:rFonts w:ascii="Times New Roman"/>
          <w:b w:val="false"/>
          <w:i w:val="false"/>
          <w:color w:val="000000"/>
          <w:sz w:val="28"/>
        </w:rPr>
        <w:t>
</w:t>
      </w:r>
      <w:r>
        <w:rPr>
          <w:rFonts w:ascii="Times New Roman"/>
          <w:b w:val="false"/>
          <w:i w:val="false"/>
          <w:color w:val="000000"/>
          <w:sz w:val="28"/>
        </w:rPr>
        <w:t>
      Предельно допустимые значения Е, Н и ППЭ на рабочих местах следует определять, исходя из допустимой энергетической нагрузки и времени воздействия по формулам:</w:t>
      </w:r>
    </w:p>
    <w:bookmarkEnd w:id="24"/>
    <w:p>
      <w:pPr>
        <w:spacing w:after="0"/>
        <w:ind w:left="0"/>
        <w:jc w:val="both"/>
      </w:pPr>
      <w:r>
        <w:rPr>
          <w:rFonts w:ascii="Times New Roman"/>
          <w:b w:val="false"/>
          <w:i w:val="false"/>
          <w:color w:val="000000"/>
          <w:sz w:val="28"/>
        </w:rPr>
        <w:t>    Епд = (ЭН</w:t>
      </w:r>
      <w:r>
        <w:rPr>
          <w:rFonts w:ascii="Times New Roman"/>
          <w:b w:val="false"/>
          <w:i w:val="false"/>
          <w:color w:val="000000"/>
          <w:vertAlign w:val="subscript"/>
        </w:rPr>
        <w:t>Епд</w:t>
      </w:r>
      <w:r>
        <w:rPr>
          <w:rFonts w:ascii="Times New Roman"/>
          <w:b w:val="false"/>
          <w:i w:val="false"/>
          <w:color w:val="000000"/>
          <w:sz w:val="28"/>
        </w:rPr>
        <w:t>/Т)</w:t>
      </w:r>
      <w:r>
        <w:rPr>
          <w:rFonts w:ascii="Times New Roman"/>
          <w:b w:val="false"/>
          <w:i w:val="false"/>
          <w:color w:val="000000"/>
          <w:vertAlign w:val="superscript"/>
        </w:rPr>
        <w:t>0,5</w:t>
      </w:r>
      <w:r>
        <w:rPr>
          <w:rFonts w:ascii="Times New Roman"/>
          <w:b w:val="false"/>
          <w:i w:val="false"/>
          <w:color w:val="000000"/>
          <w:sz w:val="28"/>
        </w:rPr>
        <w:t>; Нпд = (ЭН</w:t>
      </w:r>
      <w:r>
        <w:rPr>
          <w:rFonts w:ascii="Times New Roman"/>
          <w:b w:val="false"/>
          <w:i w:val="false"/>
          <w:color w:val="000000"/>
          <w:vertAlign w:val="subscript"/>
        </w:rPr>
        <w:t>Нпд</w:t>
      </w:r>
      <w:r>
        <w:rPr>
          <w:rFonts w:ascii="Times New Roman"/>
          <w:b w:val="false"/>
          <w:i w:val="false"/>
          <w:color w:val="000000"/>
          <w:sz w:val="28"/>
        </w:rPr>
        <w:t>/Т)</w:t>
      </w:r>
      <w:r>
        <w:rPr>
          <w:rFonts w:ascii="Times New Roman"/>
          <w:b w:val="false"/>
          <w:i w:val="false"/>
          <w:color w:val="000000"/>
          <w:vertAlign w:val="superscript"/>
        </w:rPr>
        <w:t>0,5</w:t>
      </w:r>
      <w:r>
        <w:rPr>
          <w:rFonts w:ascii="Times New Roman"/>
          <w:b w:val="false"/>
          <w:i w:val="false"/>
          <w:color w:val="000000"/>
          <w:sz w:val="28"/>
        </w:rPr>
        <w:t>; ППЭпд = К * ЭНппэ</w:t>
      </w:r>
      <w:r>
        <w:rPr>
          <w:rFonts w:ascii="Times New Roman"/>
          <w:b w:val="false"/>
          <w:i w:val="false"/>
          <w:color w:val="000000"/>
          <w:vertAlign w:val="subscript"/>
        </w:rPr>
        <w:t>пд</w:t>
      </w:r>
      <w:r>
        <w:rPr>
          <w:rFonts w:ascii="Times New Roman"/>
          <w:b w:val="false"/>
          <w:i w:val="false"/>
          <w:color w:val="000000"/>
          <w:sz w:val="28"/>
        </w:rPr>
        <w:t>/Т (4)</w:t>
      </w:r>
    </w:p>
    <w:bookmarkStart w:name="z116" w:id="25"/>
    <w:p>
      <w:pPr>
        <w:spacing w:after="0"/>
        <w:ind w:left="0"/>
        <w:jc w:val="both"/>
      </w:pPr>
      <w:r>
        <w:rPr>
          <w:rFonts w:ascii="Times New Roman"/>
          <w:b w:val="false"/>
          <w:i w:val="false"/>
          <w:color w:val="000000"/>
          <w:sz w:val="28"/>
        </w:rPr>
        <w:t>
      где: Епд, Нпд, ППЭпд - предельно допустимые значения электрического, В/м, магнитного, А/м, полей и плотности потока энергии, мкВт/см</w:t>
      </w:r>
      <w:r>
        <w:rPr>
          <w:rFonts w:ascii="Times New Roman"/>
          <w:b w:val="false"/>
          <w:i w:val="false"/>
          <w:color w:val="000000"/>
          <w:vertAlign w:val="superscript"/>
        </w:rPr>
        <w:t>2</w:t>
      </w:r>
      <w:r>
        <w:rPr>
          <w:rFonts w:ascii="Times New Roman"/>
          <w:b w:val="false"/>
          <w:i w:val="false"/>
          <w:color w:val="000000"/>
          <w:sz w:val="28"/>
        </w:rPr>
        <w:t>; ЭН</w:t>
      </w:r>
      <w:r>
        <w:rPr>
          <w:rFonts w:ascii="Times New Roman"/>
          <w:b w:val="false"/>
          <w:i w:val="false"/>
          <w:color w:val="000000"/>
          <w:vertAlign w:val="subscript"/>
        </w:rPr>
        <w:t>Епд</w:t>
      </w:r>
      <w:r>
        <w:rPr>
          <w:rFonts w:ascii="Times New Roman"/>
          <w:b w:val="false"/>
          <w:i w:val="false"/>
          <w:color w:val="000000"/>
          <w:sz w:val="28"/>
        </w:rPr>
        <w:t>, ЭН</w:t>
      </w:r>
      <w:r>
        <w:rPr>
          <w:rFonts w:ascii="Times New Roman"/>
          <w:b w:val="false"/>
          <w:i w:val="false"/>
          <w:color w:val="000000"/>
          <w:vertAlign w:val="subscript"/>
        </w:rPr>
        <w:t>Нпд</w:t>
      </w:r>
      <w:r>
        <w:rPr>
          <w:rFonts w:ascii="Times New Roman"/>
          <w:b w:val="false"/>
          <w:i w:val="false"/>
          <w:color w:val="000000"/>
          <w:sz w:val="28"/>
        </w:rPr>
        <w:t>, ЭНппэ</w:t>
      </w:r>
      <w:r>
        <w:rPr>
          <w:rFonts w:ascii="Times New Roman"/>
          <w:b w:val="false"/>
          <w:i w:val="false"/>
          <w:color w:val="000000"/>
          <w:vertAlign w:val="subscript"/>
        </w:rPr>
        <w:t>пд</w:t>
      </w:r>
      <w:r>
        <w:rPr>
          <w:rFonts w:ascii="Times New Roman"/>
          <w:b w:val="false"/>
          <w:i w:val="false"/>
          <w:color w:val="000000"/>
          <w:sz w:val="28"/>
        </w:rPr>
        <w:t xml:space="preserve"> - предельно допустимые значения энергетической нагрузки (принимаются по таблице 1); К - коэффициент ослабления биологической эффективности, равный: 10 - для облучения от вращающихся и сканирующих антенн и 1 - в остальных случаях.</w:t>
      </w:r>
      <w:r>
        <w:br/>
      </w:r>
      <w:r>
        <w:rPr>
          <w:rFonts w:ascii="Times New Roman"/>
          <w:b w:val="false"/>
          <w:i w:val="false"/>
          <w:color w:val="000000"/>
          <w:sz w:val="28"/>
        </w:rPr>
        <w:t>
</w:t>
      </w:r>
      <w:r>
        <w:rPr>
          <w:rFonts w:ascii="Times New Roman"/>
          <w:b w:val="false"/>
          <w:i w:val="false"/>
          <w:color w:val="000000"/>
          <w:sz w:val="28"/>
        </w:rPr>
        <w:t>
      Примечание: Если полученные значения превышают максимальные значения Епд, Нпд, ППЭпд, указанные в таблице 1, в качестве предельно допустимых значений принимают последние.</w:t>
      </w:r>
      <w:r>
        <w:br/>
      </w:r>
      <w:r>
        <w:rPr>
          <w:rFonts w:ascii="Times New Roman"/>
          <w:b w:val="false"/>
          <w:i w:val="false"/>
          <w:color w:val="000000"/>
          <w:sz w:val="28"/>
        </w:rPr>
        <w:t>
</w:t>
      </w:r>
      <w:r>
        <w:rPr>
          <w:rFonts w:ascii="Times New Roman"/>
          <w:b w:val="false"/>
          <w:i w:val="false"/>
          <w:color w:val="000000"/>
          <w:sz w:val="28"/>
        </w:rPr>
        <w:t>
      Допустимое время воздействия в зависимости от интенсивности ЭМИ определяется по формулам:</w:t>
      </w:r>
    </w:p>
    <w:bookmarkEnd w:id="25"/>
    <w:p>
      <w:pPr>
        <w:spacing w:after="0"/>
        <w:ind w:left="0"/>
        <w:jc w:val="both"/>
      </w:pPr>
      <w:r>
        <w:rPr>
          <w:rFonts w:ascii="Times New Roman"/>
          <w:b w:val="false"/>
          <w:i w:val="false"/>
          <w:color w:val="000000"/>
          <w:sz w:val="28"/>
        </w:rPr>
        <w:t>                 Т = ЭН</w:t>
      </w:r>
      <w:r>
        <w:rPr>
          <w:rFonts w:ascii="Times New Roman"/>
          <w:b w:val="false"/>
          <w:i w:val="false"/>
          <w:color w:val="000000"/>
          <w:vertAlign w:val="subscript"/>
        </w:rPr>
        <w:t>Епд</w:t>
      </w:r>
      <w:r>
        <w:rPr>
          <w:rFonts w:ascii="Times New Roman"/>
          <w:b w:val="false"/>
          <w:i w:val="false"/>
          <w:color w:val="000000"/>
          <w:sz w:val="28"/>
        </w:rPr>
        <w:t>/Е</w:t>
      </w:r>
      <w:r>
        <w:rPr>
          <w:rFonts w:ascii="Times New Roman"/>
          <w:b w:val="false"/>
          <w:i w:val="false"/>
          <w:color w:val="000000"/>
          <w:vertAlign w:val="superscript"/>
        </w:rPr>
        <w:t>2</w:t>
      </w:r>
      <w:r>
        <w:rPr>
          <w:rFonts w:ascii="Times New Roman"/>
          <w:b w:val="false"/>
          <w:i w:val="false"/>
          <w:color w:val="000000"/>
          <w:sz w:val="28"/>
        </w:rPr>
        <w:t>; ЭНн</w:t>
      </w:r>
      <w:r>
        <w:rPr>
          <w:rFonts w:ascii="Times New Roman"/>
          <w:b w:val="false"/>
          <w:i w:val="false"/>
          <w:color w:val="000000"/>
          <w:vertAlign w:val="subscript"/>
        </w:rPr>
        <w:t>пд</w:t>
      </w:r>
      <w:r>
        <w:rPr>
          <w:rFonts w:ascii="Times New Roman"/>
          <w:b w:val="false"/>
          <w:i w:val="false"/>
          <w:color w:val="000000"/>
          <w:sz w:val="28"/>
        </w:rPr>
        <w:t>/Н</w:t>
      </w:r>
      <w:r>
        <w:rPr>
          <w:rFonts w:ascii="Times New Roman"/>
          <w:b w:val="false"/>
          <w:i w:val="false"/>
          <w:color w:val="000000"/>
          <w:vertAlign w:val="superscript"/>
        </w:rPr>
        <w:t>2</w:t>
      </w:r>
      <w:r>
        <w:rPr>
          <w:rFonts w:ascii="Times New Roman"/>
          <w:b w:val="false"/>
          <w:i w:val="false"/>
          <w:color w:val="000000"/>
          <w:sz w:val="28"/>
        </w:rPr>
        <w:t>; ЭНппэ</w:t>
      </w:r>
      <w:r>
        <w:rPr>
          <w:rFonts w:ascii="Times New Roman"/>
          <w:b w:val="false"/>
          <w:i w:val="false"/>
          <w:color w:val="000000"/>
          <w:vertAlign w:val="subscript"/>
        </w:rPr>
        <w:t>пд</w:t>
      </w:r>
      <w:r>
        <w:rPr>
          <w:rFonts w:ascii="Times New Roman"/>
          <w:b w:val="false"/>
          <w:i w:val="false"/>
          <w:color w:val="000000"/>
          <w:sz w:val="28"/>
        </w:rPr>
        <w:t>/ППЭ (5)</w:t>
      </w:r>
    </w:p>
    <w:bookmarkStart w:name="z119" w:id="26"/>
    <w:p>
      <w:pPr>
        <w:spacing w:after="0"/>
        <w:ind w:left="0"/>
        <w:jc w:val="both"/>
      </w:pPr>
      <w:r>
        <w:rPr>
          <w:rFonts w:ascii="Times New Roman"/>
          <w:b w:val="false"/>
          <w:i w:val="false"/>
          <w:color w:val="000000"/>
          <w:sz w:val="28"/>
        </w:rPr>
        <w:t>
      где: Епд, Нпд, ППЭпд - предельно допустимые значения электрического, В/м, магнитного, А/м, полей и плотности потока энергии, мкВт/см</w:t>
      </w:r>
      <w:r>
        <w:rPr>
          <w:rFonts w:ascii="Times New Roman"/>
          <w:b w:val="false"/>
          <w:i w:val="false"/>
          <w:color w:val="000000"/>
          <w:vertAlign w:val="superscript"/>
        </w:rPr>
        <w:t>2</w:t>
      </w:r>
      <w:r>
        <w:rPr>
          <w:rFonts w:ascii="Times New Roman"/>
          <w:b w:val="false"/>
          <w:i w:val="false"/>
          <w:color w:val="000000"/>
          <w:sz w:val="28"/>
        </w:rPr>
        <w:t>; ЭН</w:t>
      </w:r>
      <w:r>
        <w:rPr>
          <w:rFonts w:ascii="Times New Roman"/>
          <w:b w:val="false"/>
          <w:i w:val="false"/>
          <w:color w:val="000000"/>
          <w:vertAlign w:val="subscript"/>
        </w:rPr>
        <w:t>Епд</w:t>
      </w:r>
      <w:r>
        <w:rPr>
          <w:rFonts w:ascii="Times New Roman"/>
          <w:b w:val="false"/>
          <w:i w:val="false"/>
          <w:color w:val="000000"/>
          <w:sz w:val="28"/>
        </w:rPr>
        <w:t>, ЭНн</w:t>
      </w:r>
      <w:r>
        <w:rPr>
          <w:rFonts w:ascii="Times New Roman"/>
          <w:b w:val="false"/>
          <w:i w:val="false"/>
          <w:color w:val="000000"/>
          <w:vertAlign w:val="subscript"/>
        </w:rPr>
        <w:t>пд</w:t>
      </w:r>
      <w:r>
        <w:rPr>
          <w:rFonts w:ascii="Times New Roman"/>
          <w:b w:val="false"/>
          <w:i w:val="false"/>
          <w:color w:val="000000"/>
          <w:sz w:val="28"/>
        </w:rPr>
        <w:t>, ЭНппэ</w:t>
      </w:r>
      <w:r>
        <w:rPr>
          <w:rFonts w:ascii="Times New Roman"/>
          <w:b w:val="false"/>
          <w:i w:val="false"/>
          <w:color w:val="000000"/>
          <w:vertAlign w:val="subscript"/>
        </w:rPr>
        <w:t>пд</w:t>
      </w:r>
      <w:r>
        <w:rPr>
          <w:rFonts w:ascii="Times New Roman"/>
          <w:b w:val="false"/>
          <w:i w:val="false"/>
          <w:color w:val="000000"/>
          <w:sz w:val="28"/>
        </w:rPr>
        <w:t xml:space="preserve"> - предельно допустимые значения энергетической нагрузки (принимается по таблице)</w:t>
      </w:r>
    </w:p>
    <w:bookmarkEnd w:id="26"/>
    <w:bookmarkStart w:name="z120" w:id="27"/>
    <w:p>
      <w:pPr>
        <w:spacing w:after="0"/>
        <w:ind w:left="0"/>
        <w:jc w:val="both"/>
      </w:pPr>
      <w:r>
        <w:rPr>
          <w:rFonts w:ascii="Times New Roman"/>
          <w:b w:val="false"/>
          <w:i w:val="false"/>
          <w:color w:val="000000"/>
          <w:sz w:val="28"/>
        </w:rPr>
        <w:t>
</w:t>
      </w:r>
      <w:r>
        <w:rPr>
          <w:rFonts w:ascii="Times New Roman"/>
          <w:b/>
          <w:i w:val="false"/>
          <w:color w:val="000000"/>
          <w:sz w:val="28"/>
        </w:rPr>
        <w:t>  Предельно допустимые уровни электромагнитных полей диапазона</w:t>
      </w:r>
      <w:r>
        <w:br/>
      </w:r>
      <w:r>
        <w:rPr>
          <w:rFonts w:ascii="Times New Roman"/>
          <w:b w:val="false"/>
          <w:i w:val="false"/>
          <w:color w:val="000000"/>
          <w:sz w:val="28"/>
        </w:rPr>
        <w:t>
</w:t>
      </w:r>
      <w:r>
        <w:rPr>
          <w:rFonts w:ascii="Times New Roman"/>
          <w:b/>
          <w:i w:val="false"/>
          <w:color w:val="000000"/>
          <w:sz w:val="28"/>
        </w:rPr>
        <w:t>частот 30 кГц - 300 ГГц на рабочих местах при профессиональном</w:t>
      </w:r>
      <w:r>
        <w:br/>
      </w:r>
      <w:r>
        <w:rPr>
          <w:rFonts w:ascii="Times New Roman"/>
          <w:b w:val="false"/>
          <w:i w:val="false"/>
          <w:color w:val="000000"/>
          <w:sz w:val="28"/>
        </w:rPr>
        <w:t>
</w:t>
      </w:r>
      <w:r>
        <w:rPr>
          <w:rFonts w:ascii="Times New Roman"/>
          <w:b/>
          <w:i w:val="false"/>
          <w:color w:val="000000"/>
          <w:sz w:val="28"/>
        </w:rPr>
        <w:t>                            воздействии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1"/>
        <w:gridCol w:w="1334"/>
        <w:gridCol w:w="1334"/>
        <w:gridCol w:w="1601"/>
        <w:gridCol w:w="1601"/>
        <w:gridCol w:w="2270"/>
      </w:tblGrid>
      <w:tr>
        <w:trPr>
          <w:trHeight w:val="30" w:hRule="atLeast"/>
        </w:trPr>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Предельные значения в диапазонах частот</w:t>
            </w:r>
            <w:r>
              <w:br/>
            </w:r>
            <w:r>
              <w:rPr>
                <w:rFonts w:ascii="Times New Roman"/>
                <w:b w:val="false"/>
                <w:i w:val="false"/>
                <w:color w:val="000000"/>
                <w:sz w:val="20"/>
              </w:rPr>
              <w:t>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3 - 30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30 - 50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50 - 300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300 - 300000</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Предельно допустимое</w:t>
            </w:r>
            <w:r>
              <w:br/>
            </w:r>
            <w:r>
              <w:rPr>
                <w:rFonts w:ascii="Times New Roman"/>
                <w:b w:val="false"/>
                <w:i w:val="false"/>
                <w:color w:val="000000"/>
                <w:sz w:val="20"/>
              </w:rPr>
              <w:t>
значение ЭН</w:t>
            </w:r>
            <w:r>
              <w:rPr>
                <w:rFonts w:ascii="Times New Roman"/>
                <w:b w:val="false"/>
                <w:i w:val="false"/>
                <w:color w:val="000000"/>
                <w:vertAlign w:val="subscript"/>
              </w:rPr>
              <w:t>Епд</w:t>
            </w:r>
            <w:r>
              <w:rPr>
                <w:rFonts w:ascii="Times New Roman"/>
                <w:b w:val="false"/>
                <w:i w:val="false"/>
                <w:color w:val="000000"/>
                <w:sz w:val="20"/>
              </w:rPr>
              <w:t>, (В/м)2 * ч</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Предельно допустимое</w:t>
            </w:r>
            <w:r>
              <w:br/>
            </w:r>
            <w:r>
              <w:rPr>
                <w:rFonts w:ascii="Times New Roman"/>
                <w:b w:val="false"/>
                <w:i w:val="false"/>
                <w:color w:val="000000"/>
                <w:sz w:val="20"/>
              </w:rPr>
              <w:t>
значение ЭНнпд, (А/м)2 * ч</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Предельно допустимое</w:t>
            </w:r>
            <w:r>
              <w:br/>
            </w:r>
            <w:r>
              <w:rPr>
                <w:rFonts w:ascii="Times New Roman"/>
                <w:b w:val="false"/>
                <w:i w:val="false"/>
                <w:color w:val="000000"/>
                <w:sz w:val="20"/>
              </w:rPr>
              <w:t>
значение ЭНппэ</w:t>
            </w:r>
            <w:r>
              <w:rPr>
                <w:rFonts w:ascii="Times New Roman"/>
                <w:b w:val="false"/>
                <w:i w:val="false"/>
                <w:color w:val="000000"/>
                <w:vertAlign w:val="subscript"/>
              </w:rPr>
              <w:t>пд</w:t>
            </w:r>
            <w:r>
              <w:rPr>
                <w:rFonts w:ascii="Times New Roman"/>
                <w:b w:val="false"/>
                <w:i w:val="false"/>
                <w:color w:val="000000"/>
                <w:sz w:val="20"/>
              </w:rPr>
              <w:t>,</w:t>
            </w:r>
            <w:r>
              <w:br/>
            </w:r>
            <w:r>
              <w:rPr>
                <w:rFonts w:ascii="Times New Roman"/>
                <w:b w:val="false"/>
                <w:i w:val="false"/>
                <w:color w:val="000000"/>
                <w:sz w:val="20"/>
              </w:rPr>
              <w:t>
(мкВт/см</w:t>
            </w:r>
            <w:r>
              <w:rPr>
                <w:rFonts w:ascii="Times New Roman"/>
                <w:b w:val="false"/>
                <w:i w:val="false"/>
                <w:color w:val="000000"/>
                <w:vertAlign w:val="superscript"/>
              </w:rPr>
              <w:t>2</w:t>
            </w:r>
            <w:r>
              <w:rPr>
                <w:rFonts w:ascii="Times New Roman"/>
                <w:b w:val="false"/>
                <w:i w:val="false"/>
                <w:color w:val="000000"/>
                <w:sz w:val="20"/>
              </w:rPr>
              <w:t>) * ч</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ПДУ Епд, В/м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ПДУ Нпд, 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ПДУ ППЭпд,</w:t>
            </w:r>
            <w:r>
              <w:br/>
            </w:r>
            <w:r>
              <w:rPr>
                <w:rFonts w:ascii="Times New Roman"/>
                <w:b w:val="false"/>
                <w:i w:val="false"/>
                <w:color w:val="000000"/>
                <w:sz w:val="20"/>
              </w:rPr>
              <w:t>
мкВт/см</w:t>
            </w:r>
            <w:r>
              <w:rPr>
                <w:rFonts w:ascii="Times New Roman"/>
                <w:b w:val="false"/>
                <w:i w:val="false"/>
                <w:color w:val="000000"/>
                <w:vertAlign w:val="superscript"/>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121" w:id="2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диапазоны, приведенные в таблице, исключают нижний и включают верхний предел частоты;</w:t>
      </w:r>
      <w:r>
        <w:br/>
      </w:r>
      <w:r>
        <w:rPr>
          <w:rFonts w:ascii="Times New Roman"/>
          <w:b w:val="false"/>
          <w:i w:val="false"/>
          <w:color w:val="000000"/>
          <w:sz w:val="28"/>
        </w:rPr>
        <w:t>
</w:t>
      </w:r>
      <w:r>
        <w:rPr>
          <w:rFonts w:ascii="Times New Roman"/>
          <w:b w:val="false"/>
          <w:i w:val="false"/>
          <w:color w:val="000000"/>
          <w:sz w:val="28"/>
        </w:rPr>
        <w:t>
      2) на рабочих местах возможного нахождения лиц, профессионально не связанных с электромагнитными излучениями, предельно допустимые уровни принимаются в размере 0,5 указанных в таблице значений.</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