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94f" w14:textId="e3b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2011 года № 1099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стабильности на ипотечном рынке страны, защиты прав дольщиков и завершение объектов строительства" раздела 2 "Механизмы достижения цели и реализации поставленных задач":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"2 этап: 2008 год" заменить словами "2 этап: 2008 - 2012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тридцать первым и тридцать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"Акционерным обществом "Фонд стрессовых активов" (далее - Фонд) будет профинансировано строительство жилых комплексов "Солнечный квартал" и "Шанырак" на сумму 3 млрд. тенге, из них на финансирование жилого комплекса "Солнечный квартал" - 2 млрд. тенге, жилого комплекса "Шанырак" - 1 млрд. тенге, строительство которых будет осуществляться уполномоченной организацией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финансирования, включая передачу свободных площадей Фонду по окончании строительства указанных объектов, будут определены в договорах о финансировании строительства, заключенных между Фондом и уполномоченной организацией акимата города Алматы.".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