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28c" w14:textId="b1f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функционировании Таможенного союза в рамках многосторонней торговой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2011 года №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функционировании Таможенного союза в рамках многосторонней торговой системы".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о функционировании Таможенного союза в</w:t>
      </w:r>
      <w:r>
        <w:br/>
      </w:r>
      <w:r>
        <w:rPr>
          <w:rFonts w:ascii="Times New Roman"/>
          <w:b/>
          <w:i w:val="false"/>
          <w:color w:val="000000"/>
        </w:rPr>
        <w:t>
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функционировании Таможенного союза в рамках многосторонней торговой системы, совершенный 19 мая 2011 года в Минске.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функционировании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 (далее именуемому как Соглашение ВТО), а также принятых каждым членом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Таможенною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момента присоединения такой Стороны к ВТО ставки Единого таможенного тарифа Таможенного союза не будут превышать ставки импортного тарифа,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cooтветствующими положениями Соглашения ВТО, которые применяются в случае гармонизации тарифов таможенными союзами.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 объема обязательств, затрагивающих правоотношения, полномочия по регулированию которых делегированы Сторонами органам Таможенного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в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включая Суд ЕврАзЭС, или международным договором, заключенным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 союза являются более либеральными по сравнению с Соглашением ВТО, но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Соглашению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данной статьи будут применяться с учетом отступлений, предусмотренных пунктом 6 статьи 1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применении настоящего Договора применяются положения Соглашения ВТО, регулирующие создание таможенных союзов.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подложит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19 мая 2011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                 За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Республику         Республику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 Казахстан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Договора о функционировании Таможенного союза в рамках многосторонней торговой системы, подписанного 19 мая 2011 года в г. Минске: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Комиссия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Таможенного союза                 М.И. Халимов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