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fea5" w14:textId="6c1f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2009 года № 2319 "Об утверждении Правил выплаты субсидий из местных бюджетов на поддержку развития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2011 года № 956. Утратило силу постановлением Правительства Республики Казахстан от 18 февраля 2014 года № 103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18.02.2014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2009 года № 2319 «Об утверждении Правил выплаты субсидий из местных бюджетов на поддержку развития животноводства» (САПП Республики Казахстан, 2010 г., № 5, ст. 64)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выплаты субсидий из местных бюджетов на поддержку развития животноводства,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Настоящие Правила выплаты субсидий из местных бюджетов на поддержку развития животноводства (далее — Правила) определяют порядок субсидирования субъектов агропромышленного комплекса, осуществляющих деятельность, направленную на развитие животноводства и обеспечение продовольственной безопасности Республики Казахстан за счет и в пределах средств, предусмотренных в бюджете области по программам 010 «Государственная поддержка племенного животноводства» и 013 «Субсидирование повышения продуктивности и качества продукции животноводства» на соответствующий финансовый год по направлениям, предусмотренным законами Республики Казахстан от 9 июля 1998 года «О племенном животноводстве» и от 8 июля 2005 года «О государственном регулировании развития агропромышленного комплекса и сельских территорий», государственными, отраслевыми (секторальными), региональными программами и другими нормативными правовыми актами данной сферы.»;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возмещение до 100 % затрат поставщикам услуг по искусственному осеменению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w:t>
      </w:r>
      <w:r>
        <w:rPr>
          <w:rFonts w:ascii="Times New Roman"/>
          <w:b w:val="false"/>
          <w:i w:val="false"/>
          <w:color w:val="000000"/>
          <w:sz w:val="28"/>
        </w:rPr>
        <w:t>
      «7) субсидирование до 80 % от ставки вознаграждения по кредитам, выданным банками второго уровня, кредитными организациями, имеющими соответствующую лицензию на право осуществления банковской деятельности, субъектам агропромышленного комплекса, пострадавшим от стихийных бедствий, на приобретение сельскохозяйственных животных. При этом, процентная ставка, подлежащая субсидированию, должна быть одинаковой для всех субъектов агропромышленного комплекса — участников программы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w:t>
      </w:r>
      <w:r>
        <w:rPr>
          <w:rFonts w:ascii="Times New Roman"/>
          <w:b w:val="false"/>
          <w:i w:val="false"/>
          <w:color w:val="000000"/>
          <w:sz w:val="28"/>
        </w:rPr>
        <w:t>
      «4) заверенная банками второго уровня, кредитными организациями, имеющими соответствующую лицензию на право осуществления банковской деятельности, копия кредитного и (или) предварительного договора с приложением графика погашения кредита и уплаты процентов по нему, заключенного между указанными организациями и заемщиком (субъектом агропромышленного комплекса).».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