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07d" w14:textId="92b5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проведении согласованной политики в области технического регулирования, санитарных и фитосанитарных мер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проведении согласованной политики в области технического регулирования, санитарных и фитосанитарных мер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 проведении согласованной политики в области технического регулирования, санитарных и фитосанитарных мер от 25 января 2008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 № 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проведении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политики в области технического регулирования, санитарных</w:t>
      </w:r>
      <w:r>
        <w:br/>
      </w:r>
      <w:r>
        <w:rPr>
          <w:rFonts w:ascii="Times New Roman"/>
          <w:b/>
          <w:i w:val="false"/>
          <w:color w:val="000000"/>
        </w:rPr>
        <w:t>
и фитосанитарных мер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Евразийского экономического сообщества (далее – 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Соглашения о проведении согласованной политики в области технического регулирования, санитарных и фитосанитарных мер от 25 января 2008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2 Соглашения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Особенности технического регулирования в отношении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государств Сторон иной информации ограниченного доступа, продукции (работ, услуг), сведения о которой составляют государственную тайну, продукции (работ, услуг) 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 устанавливаются законодательством государств Сторон.».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применением или толкованием положений настоящего Протокола,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«__» _________ 2011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Правительство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    Республики Казахстан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За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Правительство    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Российской Федерации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